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77A6C" w14:textId="7B4B8AA1" w:rsidR="00874286" w:rsidRPr="0059201A" w:rsidRDefault="00D276D6" w:rsidP="00D276D6">
      <w:pPr>
        <w:pStyle w:val="NoSpacing"/>
        <w:jc w:val="center"/>
        <w:rPr>
          <w:b/>
          <w:sz w:val="48"/>
          <w:szCs w:val="48"/>
          <w:u w:val="single"/>
        </w:rPr>
      </w:pPr>
      <w:r w:rsidRPr="0059201A">
        <w:rPr>
          <w:b/>
          <w:sz w:val="48"/>
          <w:szCs w:val="48"/>
          <w:u w:val="single"/>
        </w:rPr>
        <w:t>Phases</w:t>
      </w:r>
    </w:p>
    <w:p w14:paraId="6738EA40" w14:textId="30260BBE" w:rsidR="00D276D6" w:rsidRPr="0059201A" w:rsidRDefault="00D276D6" w:rsidP="00D276D6">
      <w:pPr>
        <w:pStyle w:val="NoSpacing"/>
        <w:rPr>
          <w:sz w:val="24"/>
          <w:szCs w:val="24"/>
        </w:rPr>
      </w:pPr>
    </w:p>
    <w:p w14:paraId="29C2A392" w14:textId="77777777" w:rsidR="00EA2D89" w:rsidRDefault="00EA2D89" w:rsidP="00E30F56">
      <w:pPr>
        <w:spacing w:after="0" w:line="240" w:lineRule="auto"/>
        <w:rPr>
          <w:rFonts w:eastAsiaTheme="minorEastAsia" w:hAnsi="Calibri"/>
          <w:color w:val="000000" w:themeColor="text1"/>
          <w:kern w:val="24"/>
          <w:sz w:val="24"/>
          <w:szCs w:val="24"/>
        </w:rPr>
      </w:pPr>
    </w:p>
    <w:p w14:paraId="5141BE95" w14:textId="74A6456F" w:rsidR="00E30F56" w:rsidRPr="0059201A" w:rsidRDefault="00E30F56" w:rsidP="00E30F56">
      <w:pPr>
        <w:spacing w:after="0" w:line="240" w:lineRule="auto"/>
        <w:rPr>
          <w:rFonts w:ascii="Times New Roman" w:eastAsia="Times New Roman" w:hAnsi="Times New Roman" w:cs="Times New Roman"/>
          <w:sz w:val="20"/>
          <w:szCs w:val="20"/>
        </w:rPr>
      </w:pPr>
      <w:r w:rsidRPr="0059201A">
        <w:rPr>
          <w:rFonts w:eastAsiaTheme="minorEastAsia" w:hAnsi="Calibri"/>
          <w:color w:val="000000" w:themeColor="text1"/>
          <w:kern w:val="24"/>
          <w:sz w:val="24"/>
          <w:szCs w:val="24"/>
        </w:rPr>
        <w:t xml:space="preserve">We’re generally interested in two things regarding phase transitions.  First we want to map out the coexistence curves delineating different phases.  Second we’d like to characterize how the potentials, and order parameter(s), change across these transitions.  And third we’d like to work out how the intensive variables like specific heat capacity and thermal compressibility change.  </w:t>
      </w:r>
    </w:p>
    <w:p w14:paraId="3AECD97D" w14:textId="77777777" w:rsidR="00E30F56" w:rsidRPr="0059201A" w:rsidRDefault="00E30F56" w:rsidP="00D276D6">
      <w:pPr>
        <w:pStyle w:val="NoSpacing"/>
        <w:rPr>
          <w:sz w:val="24"/>
          <w:szCs w:val="24"/>
        </w:rPr>
      </w:pPr>
    </w:p>
    <w:p w14:paraId="709C866D" w14:textId="69593934" w:rsidR="00D276D6" w:rsidRPr="0059201A" w:rsidRDefault="00A44EF7" w:rsidP="00D276D6">
      <w:pPr>
        <w:pStyle w:val="NoSpacing"/>
        <w:rPr>
          <w:b/>
          <w:sz w:val="28"/>
          <w:szCs w:val="28"/>
        </w:rPr>
      </w:pPr>
      <w:r w:rsidRPr="0059201A">
        <w:rPr>
          <w:b/>
          <w:sz w:val="28"/>
          <w:szCs w:val="28"/>
        </w:rPr>
        <w:t>Phases and Why</w:t>
      </w:r>
    </w:p>
    <w:p w14:paraId="40E61C6F" w14:textId="0314D513" w:rsidR="00D276D6" w:rsidRPr="0059201A" w:rsidRDefault="00D276D6" w:rsidP="00D276D6">
      <w:pPr>
        <w:pStyle w:val="NoSpacing"/>
        <w:rPr>
          <w:sz w:val="24"/>
          <w:szCs w:val="24"/>
        </w:rPr>
      </w:pPr>
      <w:r w:rsidRPr="0059201A">
        <w:rPr>
          <w:sz w:val="24"/>
          <w:szCs w:val="24"/>
        </w:rPr>
        <w:t xml:space="preserve">Substances exist in different phases, which can be delineated in terms of their independent variables, E, X, N, </w:t>
      </w:r>
      <w:r w:rsidRPr="0059201A">
        <w:rPr>
          <w:sz w:val="24"/>
          <w:szCs w:val="24"/>
          <w:lang w:val="el-GR"/>
        </w:rPr>
        <w:t>ψ</w:t>
      </w:r>
      <w:r w:rsidRPr="0059201A">
        <w:rPr>
          <w:sz w:val="24"/>
          <w:szCs w:val="24"/>
        </w:rPr>
        <w:t xml:space="preserve"> (or one of their conjugates).  </w:t>
      </w:r>
      <w:r w:rsidR="007D39DA">
        <w:rPr>
          <w:sz w:val="24"/>
          <w:szCs w:val="24"/>
        </w:rPr>
        <w:t>I suppose, we can choose any two non-canonically conjugate variables, basically any independent variables of one of those thermodynamic potentials?  Seems T, p, the Gibbs potential variables, are a favorite</w:t>
      </w:r>
      <w:r w:rsidR="009E58C0">
        <w:rPr>
          <w:sz w:val="24"/>
          <w:szCs w:val="24"/>
        </w:rPr>
        <w:t xml:space="preserve"> for liquids</w:t>
      </w:r>
      <w:r w:rsidR="007D39DA">
        <w:rPr>
          <w:sz w:val="24"/>
          <w:szCs w:val="24"/>
        </w:rPr>
        <w:t>.</w:t>
      </w:r>
    </w:p>
    <w:p w14:paraId="62BFFAF6" w14:textId="7A0B9246" w:rsidR="00D276D6" w:rsidRPr="0059201A" w:rsidRDefault="00D276D6" w:rsidP="00D276D6">
      <w:pPr>
        <w:pStyle w:val="NoSpacing"/>
        <w:rPr>
          <w:sz w:val="24"/>
          <w:szCs w:val="24"/>
        </w:rPr>
      </w:pPr>
    </w:p>
    <w:p w14:paraId="28021267" w14:textId="20869A0E" w:rsidR="00D276D6" w:rsidRPr="0059201A" w:rsidRDefault="00D276D6" w:rsidP="00D276D6">
      <w:pPr>
        <w:pStyle w:val="NoSpacing"/>
        <w:rPr>
          <w:sz w:val="24"/>
          <w:szCs w:val="24"/>
        </w:rPr>
      </w:pPr>
      <w:r w:rsidRPr="0059201A">
        <w:rPr>
          <w:sz w:val="24"/>
          <w:szCs w:val="24"/>
        </w:rPr>
        <w:t>Liquid water:</w:t>
      </w:r>
      <w:r w:rsidR="00E9045B" w:rsidRPr="0059201A">
        <w:rPr>
          <w:sz w:val="24"/>
          <w:szCs w:val="24"/>
        </w:rPr>
        <w:tab/>
      </w:r>
      <w:r w:rsidR="00E9045B" w:rsidRPr="0059201A">
        <w:rPr>
          <w:sz w:val="24"/>
          <w:szCs w:val="24"/>
        </w:rPr>
        <w:tab/>
      </w:r>
      <w:r w:rsidR="00E9045B" w:rsidRPr="0059201A">
        <w:rPr>
          <w:sz w:val="24"/>
          <w:szCs w:val="24"/>
        </w:rPr>
        <w:tab/>
      </w:r>
      <w:r w:rsidR="00E9045B" w:rsidRPr="0059201A">
        <w:rPr>
          <w:sz w:val="24"/>
          <w:szCs w:val="24"/>
        </w:rPr>
        <w:tab/>
      </w:r>
      <w:r w:rsidR="00E9045B" w:rsidRPr="0059201A">
        <w:rPr>
          <w:sz w:val="24"/>
          <w:szCs w:val="24"/>
        </w:rPr>
        <w:tab/>
      </w:r>
      <w:r w:rsidR="00E9045B" w:rsidRPr="0059201A">
        <w:rPr>
          <w:sz w:val="24"/>
          <w:szCs w:val="24"/>
        </w:rPr>
        <w:tab/>
        <w:t>Liquid He</w:t>
      </w:r>
      <w:r w:rsidR="00A44EF7" w:rsidRPr="0059201A">
        <w:rPr>
          <w:sz w:val="24"/>
          <w:szCs w:val="24"/>
        </w:rPr>
        <w:t>:</w:t>
      </w:r>
    </w:p>
    <w:p w14:paraId="1C4F00C2" w14:textId="77777777" w:rsidR="00D276D6" w:rsidRPr="0059201A" w:rsidRDefault="00D276D6" w:rsidP="00D276D6">
      <w:pPr>
        <w:pStyle w:val="NoSpacing"/>
        <w:rPr>
          <w:sz w:val="24"/>
          <w:szCs w:val="24"/>
        </w:rPr>
      </w:pPr>
    </w:p>
    <w:p w14:paraId="0625FC44" w14:textId="42CFCE08" w:rsidR="00D276D6" w:rsidRPr="0059201A" w:rsidRDefault="00D276D6" w:rsidP="00D276D6">
      <w:pPr>
        <w:pStyle w:val="NoSpacing"/>
        <w:rPr>
          <w:sz w:val="24"/>
          <w:szCs w:val="24"/>
        </w:rPr>
      </w:pPr>
      <w:r w:rsidRPr="0059201A">
        <w:rPr>
          <w:noProof/>
          <w:sz w:val="24"/>
          <w:szCs w:val="24"/>
        </w:rPr>
        <w:drawing>
          <wp:inline distT="0" distB="0" distL="0" distR="0" wp14:anchorId="4655BE40" wp14:editId="492CAA63">
            <wp:extent cx="2058358" cy="1760220"/>
            <wp:effectExtent l="0" t="0" r="0" b="0"/>
            <wp:docPr id="53256" name="Picture 8">
              <a:extLst xmlns:a="http://schemas.openxmlformats.org/drawingml/2006/main">
                <a:ext uri="{FF2B5EF4-FFF2-40B4-BE49-F238E27FC236}">
                  <a16:creationId xmlns:a16="http://schemas.microsoft.com/office/drawing/2014/main" id="{D252BEA3-41B4-43E9-838B-ADFC62978C2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56" name="Picture 8">
                      <a:extLst>
                        <a:ext uri="{FF2B5EF4-FFF2-40B4-BE49-F238E27FC236}">
                          <a16:creationId xmlns:a16="http://schemas.microsoft.com/office/drawing/2014/main" id="{D252BEA3-41B4-43E9-838B-ADFC62978C21}"/>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rcRect t="9045" r="6250" b="15132"/>
                    <a:stretch>
                      <a:fillRect/>
                    </a:stretch>
                  </pic:blipFill>
                  <pic:spPr bwMode="auto">
                    <a:xfrm>
                      <a:off x="0" y="0"/>
                      <a:ext cx="2062776" cy="1763998"/>
                    </a:xfrm>
                    <a:prstGeom prst="rect">
                      <a:avLst/>
                    </a:prstGeom>
                    <a:noFill/>
                    <a:ln>
                      <a:noFill/>
                    </a:ln>
                  </pic:spPr>
                </pic:pic>
              </a:graphicData>
            </a:graphic>
          </wp:inline>
        </w:drawing>
      </w:r>
      <w:r w:rsidR="00E9045B" w:rsidRPr="0059201A">
        <w:rPr>
          <w:sz w:val="24"/>
          <w:szCs w:val="24"/>
        </w:rPr>
        <w:tab/>
      </w:r>
      <w:r w:rsidR="00E9045B" w:rsidRPr="0059201A">
        <w:rPr>
          <w:sz w:val="24"/>
          <w:szCs w:val="24"/>
        </w:rPr>
        <w:tab/>
      </w:r>
      <w:r w:rsidR="00E9045B" w:rsidRPr="0059201A">
        <w:rPr>
          <w:sz w:val="24"/>
          <w:szCs w:val="24"/>
        </w:rPr>
        <w:tab/>
      </w:r>
      <w:r w:rsidR="00E9045B" w:rsidRPr="0059201A">
        <w:rPr>
          <w:noProof/>
          <w:sz w:val="24"/>
          <w:szCs w:val="24"/>
        </w:rPr>
        <w:drawing>
          <wp:inline distT="0" distB="0" distL="0" distR="0" wp14:anchorId="391FDFAD" wp14:editId="7A941019">
            <wp:extent cx="2216150" cy="1722745"/>
            <wp:effectExtent l="0" t="0" r="0" b="0"/>
            <wp:docPr id="11" name="Picture 10">
              <a:extLst xmlns:a="http://schemas.openxmlformats.org/drawingml/2006/main">
                <a:ext uri="{FF2B5EF4-FFF2-40B4-BE49-F238E27FC236}">
                  <a16:creationId xmlns:a16="http://schemas.microsoft.com/office/drawing/2014/main" id="{6E784499-5241-4CA2-9AE3-7C89E0A5745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6E784499-5241-4CA2-9AE3-7C89E0A57454}"/>
                        </a:ext>
                      </a:extLst>
                    </pic:cNvPr>
                    <pic:cNvPicPr>
                      <a:picLocks noChangeAspect="1"/>
                    </pic:cNvPicPr>
                  </pic:nvPicPr>
                  <pic:blipFill>
                    <a:blip r:embed="rId5"/>
                    <a:stretch>
                      <a:fillRect/>
                    </a:stretch>
                  </pic:blipFill>
                  <pic:spPr>
                    <a:xfrm>
                      <a:off x="0" y="0"/>
                      <a:ext cx="2256132" cy="1753825"/>
                    </a:xfrm>
                    <a:prstGeom prst="rect">
                      <a:avLst/>
                    </a:prstGeom>
                  </pic:spPr>
                </pic:pic>
              </a:graphicData>
            </a:graphic>
          </wp:inline>
        </w:drawing>
      </w:r>
    </w:p>
    <w:p w14:paraId="57612C8F" w14:textId="60A958E3" w:rsidR="00D276D6" w:rsidRPr="0059201A" w:rsidRDefault="00D276D6" w:rsidP="00D276D6">
      <w:pPr>
        <w:pStyle w:val="NoSpacing"/>
        <w:rPr>
          <w:sz w:val="24"/>
          <w:szCs w:val="24"/>
        </w:rPr>
      </w:pPr>
    </w:p>
    <w:p w14:paraId="4BB5719D" w14:textId="398B2DEC" w:rsidR="00D276D6" w:rsidRDefault="009E58C0" w:rsidP="00D276D6">
      <w:pPr>
        <w:pStyle w:val="NoSpacing"/>
        <w:rPr>
          <w:sz w:val="24"/>
          <w:szCs w:val="24"/>
        </w:rPr>
      </w:pPr>
      <w:r>
        <w:rPr>
          <w:sz w:val="24"/>
          <w:szCs w:val="24"/>
        </w:rPr>
        <w:t xml:space="preserve">whereas T and h, the Helmholtz potential variables are favorites for when we have magnetic fields going on.  </w:t>
      </w:r>
    </w:p>
    <w:p w14:paraId="74AA04FB" w14:textId="77777777" w:rsidR="009E58C0" w:rsidRPr="0059201A" w:rsidRDefault="009E58C0" w:rsidP="00D276D6">
      <w:pPr>
        <w:pStyle w:val="NoSpacing"/>
        <w:rPr>
          <w:sz w:val="24"/>
          <w:szCs w:val="24"/>
        </w:rPr>
      </w:pPr>
    </w:p>
    <w:p w14:paraId="12C11CB4" w14:textId="77777777" w:rsidR="00A44EF7" w:rsidRPr="0059201A" w:rsidRDefault="00D276D6" w:rsidP="00A44EF7">
      <w:pPr>
        <w:pStyle w:val="NoSpacing"/>
        <w:rPr>
          <w:sz w:val="24"/>
          <w:szCs w:val="24"/>
        </w:rPr>
      </w:pPr>
      <w:r w:rsidRPr="0059201A">
        <w:rPr>
          <w:sz w:val="24"/>
          <w:szCs w:val="24"/>
        </w:rPr>
        <w:t>Ferromagnet:</w:t>
      </w:r>
      <w:r w:rsidR="00A44EF7" w:rsidRPr="0059201A">
        <w:rPr>
          <w:sz w:val="24"/>
          <w:szCs w:val="24"/>
        </w:rPr>
        <w:tab/>
      </w:r>
      <w:r w:rsidR="00A44EF7" w:rsidRPr="0059201A">
        <w:rPr>
          <w:sz w:val="24"/>
          <w:szCs w:val="24"/>
        </w:rPr>
        <w:tab/>
      </w:r>
      <w:r w:rsidR="00A44EF7" w:rsidRPr="0059201A">
        <w:rPr>
          <w:sz w:val="24"/>
          <w:szCs w:val="24"/>
        </w:rPr>
        <w:tab/>
      </w:r>
      <w:r w:rsidR="00A44EF7" w:rsidRPr="0059201A">
        <w:rPr>
          <w:sz w:val="24"/>
          <w:szCs w:val="24"/>
        </w:rPr>
        <w:tab/>
      </w:r>
      <w:r w:rsidR="00A44EF7" w:rsidRPr="0059201A">
        <w:rPr>
          <w:sz w:val="24"/>
          <w:szCs w:val="24"/>
        </w:rPr>
        <w:tab/>
      </w:r>
      <w:r w:rsidR="00A44EF7" w:rsidRPr="0059201A">
        <w:rPr>
          <w:sz w:val="24"/>
          <w:szCs w:val="24"/>
        </w:rPr>
        <w:tab/>
        <w:t>Superconductor:</w:t>
      </w:r>
    </w:p>
    <w:p w14:paraId="0B063743" w14:textId="3DC81660" w:rsidR="00D276D6" w:rsidRPr="0059201A" w:rsidRDefault="00D276D6" w:rsidP="00D276D6">
      <w:pPr>
        <w:pStyle w:val="NoSpacing"/>
        <w:rPr>
          <w:sz w:val="24"/>
          <w:szCs w:val="24"/>
        </w:rPr>
      </w:pPr>
    </w:p>
    <w:p w14:paraId="363AA717" w14:textId="1D8331F7" w:rsidR="00D276D6" w:rsidRPr="0059201A" w:rsidRDefault="00A44EF7" w:rsidP="00D276D6">
      <w:pPr>
        <w:pStyle w:val="NoSpacing"/>
        <w:rPr>
          <w:sz w:val="24"/>
          <w:szCs w:val="24"/>
        </w:rPr>
      </w:pPr>
      <w:r w:rsidRPr="0059201A">
        <w:rPr>
          <w:sz w:val="24"/>
          <w:szCs w:val="24"/>
        </w:rPr>
        <w:object w:dxaOrig="3300" w:dyaOrig="2352" w14:anchorId="3356B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25pt;height:99.8pt" o:ole="">
            <v:imagedata r:id="rId6" o:title=""/>
          </v:shape>
          <o:OLEObject Type="Embed" ProgID="PBrush" ShapeID="_x0000_i1025" DrawAspect="Content" ObjectID="_1828351800" r:id="rId7"/>
        </w:object>
      </w:r>
      <w:r w:rsidRPr="0059201A">
        <w:rPr>
          <w:sz w:val="24"/>
          <w:szCs w:val="24"/>
        </w:rPr>
        <w:tab/>
      </w:r>
      <w:r w:rsidRPr="0059201A">
        <w:rPr>
          <w:sz w:val="24"/>
          <w:szCs w:val="24"/>
        </w:rPr>
        <w:tab/>
      </w:r>
      <w:r w:rsidRPr="0059201A">
        <w:rPr>
          <w:sz w:val="24"/>
          <w:szCs w:val="24"/>
        </w:rPr>
        <w:tab/>
      </w:r>
      <w:r w:rsidR="008A26E6">
        <w:rPr>
          <w:sz w:val="24"/>
          <w:szCs w:val="24"/>
        </w:rPr>
        <w:tab/>
      </w:r>
      <w:r w:rsidR="009E58C0" w:rsidRPr="00A640CD">
        <w:rPr>
          <w:rFonts w:ascii="Calibri" w:hAnsi="Calibri" w:cs="Calibri"/>
        </w:rPr>
        <w:object w:dxaOrig="3696" w:dyaOrig="2124" w14:anchorId="70344138">
          <v:shape id="_x0000_i1026" type="#_x0000_t75" style="width:185.45pt;height:110.2pt" o:ole="">
            <v:imagedata r:id="rId8" o:title="" croptop="993f" cropbottom="2730f" cropleft="1846f" cropright="1477f"/>
          </v:shape>
          <o:OLEObject Type="Embed" ProgID="PBrush" ShapeID="_x0000_i1026" DrawAspect="Content" ObjectID="_1828351801" r:id="rId9"/>
        </w:object>
      </w:r>
    </w:p>
    <w:p w14:paraId="06DB01FA" w14:textId="67B4C906" w:rsidR="00D276D6" w:rsidRPr="0059201A" w:rsidRDefault="00D276D6" w:rsidP="00D276D6">
      <w:pPr>
        <w:pStyle w:val="NoSpacing"/>
        <w:rPr>
          <w:sz w:val="24"/>
          <w:szCs w:val="24"/>
        </w:rPr>
      </w:pPr>
    </w:p>
    <w:p w14:paraId="1D90D222" w14:textId="1B85B4A2" w:rsidR="00D276D6" w:rsidRPr="0059201A" w:rsidRDefault="00BB609B" w:rsidP="00D276D6">
      <w:pPr>
        <w:pStyle w:val="NoSpacing"/>
        <w:rPr>
          <w:sz w:val="24"/>
          <w:szCs w:val="24"/>
        </w:rPr>
      </w:pPr>
      <w:r w:rsidRPr="0059201A">
        <w:rPr>
          <w:sz w:val="24"/>
          <w:szCs w:val="24"/>
        </w:rPr>
        <w:t xml:space="preserve">We can also change the composition of the substance, basically </w:t>
      </w:r>
      <w:r>
        <w:rPr>
          <w:sz w:val="24"/>
          <w:szCs w:val="24"/>
        </w:rPr>
        <w:t xml:space="preserve">by </w:t>
      </w:r>
      <w:r w:rsidRPr="0059201A">
        <w:rPr>
          <w:sz w:val="24"/>
          <w:szCs w:val="24"/>
        </w:rPr>
        <w:t xml:space="preserve">changing its internal parameters, which is the subject of ‘quantum’ phase transitions.  </w:t>
      </w:r>
      <w:r>
        <w:rPr>
          <w:sz w:val="24"/>
          <w:szCs w:val="24"/>
        </w:rPr>
        <w:t>For instance, the</w:t>
      </w:r>
      <w:r w:rsidR="00D276D6" w:rsidRPr="0059201A">
        <w:rPr>
          <w:sz w:val="24"/>
          <w:szCs w:val="24"/>
        </w:rPr>
        <w:t xml:space="preserve"> doped </w:t>
      </w:r>
      <w:r w:rsidR="00D276D6" w:rsidRPr="0059201A">
        <w:rPr>
          <w:sz w:val="24"/>
          <w:szCs w:val="24"/>
        </w:rPr>
        <w:lastRenderedPageBreak/>
        <w:t>Hubbard model of interacting electrons (n = # electrons per site, U = coulomb repulsion, W = band width)</w:t>
      </w:r>
    </w:p>
    <w:p w14:paraId="6574930A" w14:textId="4439CE09" w:rsidR="00D276D6" w:rsidRPr="0059201A" w:rsidRDefault="00D276D6" w:rsidP="00D276D6">
      <w:pPr>
        <w:pStyle w:val="NoSpacing"/>
        <w:rPr>
          <w:sz w:val="24"/>
          <w:szCs w:val="24"/>
        </w:rPr>
      </w:pPr>
    </w:p>
    <w:p w14:paraId="78A1FC38" w14:textId="3B631018" w:rsidR="00D276D6" w:rsidRPr="0059201A" w:rsidRDefault="00D276D6" w:rsidP="00D276D6">
      <w:pPr>
        <w:pStyle w:val="NoSpacing"/>
        <w:rPr>
          <w:sz w:val="24"/>
          <w:szCs w:val="24"/>
        </w:rPr>
      </w:pPr>
      <w:r w:rsidRPr="0059201A">
        <w:rPr>
          <w:noProof/>
          <w:sz w:val="24"/>
          <w:szCs w:val="24"/>
        </w:rPr>
        <w:drawing>
          <wp:inline distT="0" distB="0" distL="0" distR="0" wp14:anchorId="79245463" wp14:editId="2C034BC9">
            <wp:extent cx="2298700" cy="1964343"/>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39917" cy="1999565"/>
                    </a:xfrm>
                    <a:prstGeom prst="rect">
                      <a:avLst/>
                    </a:prstGeom>
                  </pic:spPr>
                </pic:pic>
              </a:graphicData>
            </a:graphic>
          </wp:inline>
        </w:drawing>
      </w:r>
    </w:p>
    <w:p w14:paraId="626D3D29" w14:textId="15729BE1" w:rsidR="00D276D6" w:rsidRPr="0059201A" w:rsidRDefault="00D276D6" w:rsidP="00D276D6">
      <w:pPr>
        <w:pStyle w:val="NoSpacing"/>
        <w:rPr>
          <w:sz w:val="24"/>
          <w:szCs w:val="24"/>
        </w:rPr>
      </w:pPr>
    </w:p>
    <w:p w14:paraId="7F515EBD" w14:textId="73536F0F" w:rsidR="00D276D6" w:rsidRPr="0059201A" w:rsidRDefault="00D276D6" w:rsidP="00D276D6">
      <w:pPr>
        <w:pStyle w:val="NoSpacing"/>
        <w:rPr>
          <w:sz w:val="24"/>
          <w:szCs w:val="24"/>
        </w:rPr>
      </w:pPr>
      <w:r w:rsidRPr="0059201A">
        <w:rPr>
          <w:sz w:val="24"/>
          <w:szCs w:val="24"/>
        </w:rPr>
        <w:t xml:space="preserve">Classical phase transitions are temperature induced.  Basically the different phases occur at different energy levels.  </w:t>
      </w:r>
      <w:r w:rsidR="000B1BB1">
        <w:rPr>
          <w:sz w:val="24"/>
          <w:szCs w:val="24"/>
        </w:rPr>
        <w:t xml:space="preserve">Consider the first picture below.  </w:t>
      </w:r>
      <w:r w:rsidRPr="0059201A">
        <w:rPr>
          <w:sz w:val="24"/>
          <w:szCs w:val="24"/>
        </w:rPr>
        <w:t>In solid phase (grey) we might have lattice oscillations.  In liquid phase (blue) the molecules are held by weaker VDW forces, and we might have longitudinal oscillations.  In gas phase (red), we’d have no more interactions, and excitations would just be kinetic d.o.f.  As we raise the temperature, the substance’s energy increases, and it obviously requires a finite amount of energy to jump phase (first order phase transition).  But by changing the external parameters</w:t>
      </w:r>
      <w:r w:rsidR="000B1BB1">
        <w:rPr>
          <w:sz w:val="24"/>
          <w:szCs w:val="24"/>
        </w:rPr>
        <w:t xml:space="preserve"> (second picture)</w:t>
      </w:r>
      <w:r w:rsidRPr="0059201A">
        <w:rPr>
          <w:sz w:val="24"/>
          <w:szCs w:val="24"/>
        </w:rPr>
        <w:t xml:space="preserve">, like V, h, we change the energy levels, and perhaps bring them closer together.  When they meet </w:t>
      </w:r>
      <w:r w:rsidR="000B1BB1">
        <w:rPr>
          <w:sz w:val="24"/>
          <w:szCs w:val="24"/>
        </w:rPr>
        <w:t xml:space="preserve">(third picture) </w:t>
      </w:r>
      <w:r w:rsidRPr="0059201A">
        <w:rPr>
          <w:sz w:val="24"/>
          <w:szCs w:val="24"/>
        </w:rPr>
        <w:t>is where we get a 2</w:t>
      </w:r>
      <w:r w:rsidRPr="0059201A">
        <w:rPr>
          <w:sz w:val="24"/>
          <w:szCs w:val="24"/>
          <w:vertAlign w:val="superscript"/>
        </w:rPr>
        <w:t>nd</w:t>
      </w:r>
      <w:r w:rsidRPr="0059201A">
        <w:rPr>
          <w:sz w:val="24"/>
          <w:szCs w:val="24"/>
        </w:rPr>
        <w:t xml:space="preserve"> order phase transition as the crossover between phases is smooth (not necessarily all three, as i drew in the picture, though).  </w:t>
      </w:r>
    </w:p>
    <w:p w14:paraId="68D2C620" w14:textId="46778A1A" w:rsidR="00D276D6" w:rsidRPr="0059201A" w:rsidRDefault="00D276D6" w:rsidP="00D276D6">
      <w:pPr>
        <w:pStyle w:val="NoSpacing"/>
        <w:rPr>
          <w:sz w:val="24"/>
          <w:szCs w:val="24"/>
        </w:rPr>
      </w:pPr>
    </w:p>
    <w:p w14:paraId="72F9DD16" w14:textId="69C10915" w:rsidR="00D276D6" w:rsidRPr="0059201A" w:rsidRDefault="00D276D6" w:rsidP="00D276D6">
      <w:pPr>
        <w:pStyle w:val="NoSpacing"/>
        <w:rPr>
          <w:sz w:val="24"/>
          <w:szCs w:val="24"/>
        </w:rPr>
      </w:pPr>
      <w:r w:rsidRPr="0059201A">
        <w:rPr>
          <w:noProof/>
          <w:sz w:val="24"/>
          <w:szCs w:val="24"/>
        </w:rPr>
        <w:drawing>
          <wp:inline distT="0" distB="0" distL="0" distR="0" wp14:anchorId="2D86613E" wp14:editId="3C2DEB7F">
            <wp:extent cx="5212080" cy="1389888"/>
            <wp:effectExtent l="0" t="0" r="762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33226" cy="1395527"/>
                    </a:xfrm>
                    <a:prstGeom prst="rect">
                      <a:avLst/>
                    </a:prstGeom>
                  </pic:spPr>
                </pic:pic>
              </a:graphicData>
            </a:graphic>
          </wp:inline>
        </w:drawing>
      </w:r>
    </w:p>
    <w:p w14:paraId="336947CA" w14:textId="68F3EBB8" w:rsidR="00D276D6" w:rsidRPr="0059201A" w:rsidRDefault="00D276D6" w:rsidP="00D276D6">
      <w:pPr>
        <w:pStyle w:val="NoSpacing"/>
        <w:rPr>
          <w:sz w:val="24"/>
          <w:szCs w:val="24"/>
        </w:rPr>
      </w:pPr>
    </w:p>
    <w:p w14:paraId="743F1081" w14:textId="484E7174" w:rsidR="00D276D6" w:rsidRPr="0059201A" w:rsidRDefault="00D276D6" w:rsidP="00D276D6">
      <w:pPr>
        <w:pStyle w:val="NoSpacing"/>
        <w:rPr>
          <w:sz w:val="24"/>
          <w:szCs w:val="24"/>
        </w:rPr>
      </w:pPr>
      <w:r w:rsidRPr="0059201A">
        <w:rPr>
          <w:sz w:val="24"/>
          <w:szCs w:val="24"/>
        </w:rPr>
        <w:t xml:space="preserve">Quantum phase transitions are all at T = 0, so the system is always in its GS.  They are caused by changing some external parameter which alters the character of the GS.  In diagram we see the GS </w:t>
      </w:r>
      <w:r w:rsidR="000B1BB1">
        <w:rPr>
          <w:sz w:val="24"/>
          <w:szCs w:val="24"/>
        </w:rPr>
        <w:t xml:space="preserve">(grey in first and second pictures) </w:t>
      </w:r>
      <w:r w:rsidRPr="0059201A">
        <w:rPr>
          <w:sz w:val="24"/>
          <w:szCs w:val="24"/>
        </w:rPr>
        <w:t>changing, and when it crosses the second energy level</w:t>
      </w:r>
      <w:r w:rsidR="000B1BB1">
        <w:rPr>
          <w:sz w:val="24"/>
          <w:szCs w:val="24"/>
        </w:rPr>
        <w:t xml:space="preserve"> (third picture)</w:t>
      </w:r>
      <w:r w:rsidRPr="0059201A">
        <w:rPr>
          <w:sz w:val="24"/>
          <w:szCs w:val="24"/>
        </w:rPr>
        <w:t>, an abrupt (phase) transition occurs.</w:t>
      </w:r>
    </w:p>
    <w:p w14:paraId="70A6DBCA" w14:textId="77777777" w:rsidR="00D276D6" w:rsidRPr="0059201A" w:rsidRDefault="00D276D6" w:rsidP="00D276D6">
      <w:pPr>
        <w:pStyle w:val="NoSpacing"/>
        <w:rPr>
          <w:sz w:val="24"/>
          <w:szCs w:val="24"/>
        </w:rPr>
      </w:pPr>
    </w:p>
    <w:p w14:paraId="0E8C5BD3" w14:textId="4FC493E5" w:rsidR="00D276D6" w:rsidRPr="0059201A" w:rsidRDefault="00D276D6" w:rsidP="00D276D6">
      <w:pPr>
        <w:pStyle w:val="NoSpacing"/>
        <w:rPr>
          <w:sz w:val="24"/>
          <w:szCs w:val="24"/>
        </w:rPr>
      </w:pPr>
      <w:r w:rsidRPr="0059201A">
        <w:rPr>
          <w:noProof/>
          <w:sz w:val="24"/>
          <w:szCs w:val="24"/>
        </w:rPr>
        <w:lastRenderedPageBreak/>
        <w:drawing>
          <wp:inline distT="0" distB="0" distL="0" distR="0" wp14:anchorId="436A9E18" wp14:editId="77CAE8A3">
            <wp:extent cx="4876800" cy="109154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46076" cy="1107055"/>
                    </a:xfrm>
                    <a:prstGeom prst="rect">
                      <a:avLst/>
                    </a:prstGeom>
                  </pic:spPr>
                </pic:pic>
              </a:graphicData>
            </a:graphic>
          </wp:inline>
        </w:drawing>
      </w:r>
    </w:p>
    <w:p w14:paraId="77E73998" w14:textId="3EB570B8" w:rsidR="00D276D6" w:rsidRDefault="00D276D6" w:rsidP="00D276D6">
      <w:pPr>
        <w:pStyle w:val="NoSpacing"/>
        <w:rPr>
          <w:sz w:val="24"/>
          <w:szCs w:val="24"/>
        </w:rPr>
      </w:pPr>
    </w:p>
    <w:p w14:paraId="51B21BDC" w14:textId="153DE525" w:rsidR="00307309" w:rsidRPr="00307309" w:rsidRDefault="00307309" w:rsidP="00D276D6">
      <w:pPr>
        <w:pStyle w:val="NoSpacing"/>
        <w:rPr>
          <w:sz w:val="24"/>
          <w:szCs w:val="24"/>
        </w:rPr>
      </w:pPr>
      <w:r>
        <w:rPr>
          <w:sz w:val="24"/>
          <w:szCs w:val="24"/>
        </w:rPr>
        <w:t>One last comment: phase transitions often won’t happen in systems of reduced dimensionality.  There is a ‘lower critical dimension’ below which a phase transition can’t occur.  For many cases, like the ferromagnetic transition, or liquid-gas transition, d</w:t>
      </w:r>
      <w:r>
        <w:rPr>
          <w:sz w:val="24"/>
          <w:szCs w:val="24"/>
          <w:vertAlign w:val="subscript"/>
        </w:rPr>
        <w:t>lower_critical</w:t>
      </w:r>
      <w:r>
        <w:rPr>
          <w:sz w:val="24"/>
          <w:szCs w:val="24"/>
        </w:rPr>
        <w:t xml:space="preserve"> = 2. </w:t>
      </w:r>
    </w:p>
    <w:p w14:paraId="0E64B87B" w14:textId="77777777" w:rsidR="00307309" w:rsidRPr="0059201A" w:rsidRDefault="00307309" w:rsidP="00D276D6">
      <w:pPr>
        <w:pStyle w:val="NoSpacing"/>
        <w:rPr>
          <w:sz w:val="24"/>
          <w:szCs w:val="24"/>
        </w:rPr>
      </w:pPr>
    </w:p>
    <w:p w14:paraId="0891B0F9" w14:textId="7026CF1C" w:rsidR="00A44EF7" w:rsidRPr="0059201A" w:rsidRDefault="00A44EF7" w:rsidP="00D276D6">
      <w:pPr>
        <w:pStyle w:val="NoSpacing"/>
        <w:rPr>
          <w:b/>
          <w:sz w:val="28"/>
          <w:szCs w:val="28"/>
        </w:rPr>
      </w:pPr>
      <w:r w:rsidRPr="0059201A">
        <w:rPr>
          <w:b/>
          <w:sz w:val="28"/>
          <w:szCs w:val="28"/>
        </w:rPr>
        <w:t>First and Second Order Phase Transitions</w:t>
      </w:r>
    </w:p>
    <w:p w14:paraId="24AC4CDA" w14:textId="5F1512D9" w:rsidR="00A44EF7" w:rsidRPr="0059201A" w:rsidRDefault="00A44EF7" w:rsidP="00D276D6">
      <w:pPr>
        <w:pStyle w:val="NoSpacing"/>
        <w:rPr>
          <w:sz w:val="24"/>
          <w:szCs w:val="24"/>
        </w:rPr>
      </w:pPr>
      <w:r w:rsidRPr="0059201A">
        <w:rPr>
          <w:sz w:val="24"/>
          <w:szCs w:val="24"/>
        </w:rPr>
        <w:t xml:space="preserve">Transitions are often characterized by an order parameter which are related to the entropy, and more or less characterize some macroscopic feature of the substance.  These are often zero in the ‘disordered’ phase, and finite in the ‘ordered’ phase.  An example is net magnetization for </w:t>
      </w:r>
      <w:r w:rsidR="009E58C0">
        <w:rPr>
          <w:sz w:val="24"/>
          <w:szCs w:val="24"/>
        </w:rPr>
        <w:t>ferromagnets</w:t>
      </w:r>
      <w:r w:rsidRPr="0059201A">
        <w:rPr>
          <w:sz w:val="24"/>
          <w:szCs w:val="24"/>
        </w:rPr>
        <w:t xml:space="preserve">.  Or minimum # of particles in the GS of a bosonic gas.  </w:t>
      </w:r>
      <w:r w:rsidR="00084FD3">
        <w:rPr>
          <w:sz w:val="24"/>
          <w:szCs w:val="24"/>
        </w:rPr>
        <w:t xml:space="preserve">Or the difference in molar volume of the liquid vs. gas phase of a fluid at same T and p.  </w:t>
      </w:r>
      <w:r w:rsidRPr="0059201A">
        <w:rPr>
          <w:sz w:val="24"/>
          <w:szCs w:val="24"/>
        </w:rPr>
        <w:t xml:space="preserve">In first order phase transitions, the order parameter makes a discreet jump when it crosses the phase </w:t>
      </w:r>
      <w:r w:rsidR="007E4F03">
        <w:rPr>
          <w:sz w:val="24"/>
          <w:szCs w:val="24"/>
        </w:rPr>
        <w:t>boundary</w:t>
      </w:r>
      <w:r w:rsidRPr="0059201A">
        <w:rPr>
          <w:sz w:val="24"/>
          <w:szCs w:val="24"/>
        </w:rPr>
        <w:t xml:space="preserve"> line.  For second order phase transitions, the jump is 0.  </w:t>
      </w:r>
      <w:r w:rsidR="009E58C0" w:rsidRPr="0059201A">
        <w:rPr>
          <w:sz w:val="24"/>
          <w:szCs w:val="24"/>
        </w:rPr>
        <w:t>Quantum phase transitions are also characterized by such a parameter</w:t>
      </w:r>
      <w:r w:rsidR="009E58C0">
        <w:rPr>
          <w:sz w:val="24"/>
          <w:szCs w:val="24"/>
        </w:rPr>
        <w:t>, but these occur at T = 0, and so the changes of the order parameter are w/r to some other independent variable, like concentration, or interaction strength, etc.</w:t>
      </w:r>
      <w:r w:rsidR="009E58C0" w:rsidRPr="0059201A">
        <w:rPr>
          <w:sz w:val="24"/>
          <w:szCs w:val="24"/>
        </w:rPr>
        <w:t xml:space="preserve">.   </w:t>
      </w:r>
    </w:p>
    <w:p w14:paraId="0D4C551B" w14:textId="77777777" w:rsidR="00A44EF7" w:rsidRPr="0059201A" w:rsidRDefault="00A44EF7" w:rsidP="00A44EF7">
      <w:pPr>
        <w:pStyle w:val="NoSpacing"/>
        <w:rPr>
          <w:sz w:val="24"/>
          <w:szCs w:val="24"/>
        </w:rPr>
      </w:pPr>
    </w:p>
    <w:p w14:paraId="446999FE" w14:textId="52CA7462" w:rsidR="00A44EF7" w:rsidRPr="0059201A" w:rsidRDefault="00A44EF7" w:rsidP="00EC6D1E">
      <w:pPr>
        <w:pStyle w:val="NoSpacing"/>
        <w:pBdr>
          <w:top w:val="single" w:sz="4" w:space="1" w:color="auto"/>
          <w:left w:val="single" w:sz="4" w:space="4" w:color="auto"/>
          <w:bottom w:val="single" w:sz="4" w:space="1" w:color="auto"/>
          <w:right w:val="single" w:sz="4" w:space="0" w:color="auto"/>
        </w:pBdr>
        <w:rPr>
          <w:sz w:val="24"/>
          <w:szCs w:val="24"/>
        </w:rPr>
      </w:pPr>
      <w:r w:rsidRPr="0059201A">
        <w:rPr>
          <w:b/>
          <w:bCs/>
          <w:sz w:val="24"/>
          <w:szCs w:val="24"/>
        </w:rPr>
        <w:t>First order phase transition:</w:t>
      </w:r>
      <w:r w:rsidRPr="0059201A">
        <w:rPr>
          <w:sz w:val="24"/>
          <w:szCs w:val="24"/>
        </w:rPr>
        <w:t xml:space="preserve"> characterized by discontinuity in order parameter, generally.</w:t>
      </w:r>
    </w:p>
    <w:p w14:paraId="22456D0F" w14:textId="53843A8B" w:rsidR="00A44EF7" w:rsidRPr="0059201A" w:rsidRDefault="00A44EF7" w:rsidP="00EC6D1E">
      <w:pPr>
        <w:pStyle w:val="NoSpacing"/>
        <w:pBdr>
          <w:top w:val="single" w:sz="4" w:space="1" w:color="auto"/>
          <w:left w:val="single" w:sz="4" w:space="4" w:color="auto"/>
          <w:bottom w:val="single" w:sz="4" w:space="1" w:color="auto"/>
          <w:right w:val="single" w:sz="4" w:space="0" w:color="auto"/>
        </w:pBdr>
        <w:rPr>
          <w:sz w:val="24"/>
          <w:szCs w:val="24"/>
        </w:rPr>
      </w:pPr>
      <w:r w:rsidRPr="0059201A">
        <w:rPr>
          <w:b/>
          <w:bCs/>
          <w:sz w:val="24"/>
          <w:szCs w:val="24"/>
        </w:rPr>
        <w:t xml:space="preserve">Second order phase transition: </w:t>
      </w:r>
      <w:r w:rsidRPr="0059201A">
        <w:rPr>
          <w:sz w:val="24"/>
          <w:szCs w:val="24"/>
        </w:rPr>
        <w:t>characterized by continuity in order parameter</w:t>
      </w:r>
    </w:p>
    <w:p w14:paraId="7EFB6486" w14:textId="77777777" w:rsidR="00A44EF7" w:rsidRPr="0059201A" w:rsidRDefault="00A44EF7" w:rsidP="00D276D6">
      <w:pPr>
        <w:pStyle w:val="NoSpacing"/>
        <w:rPr>
          <w:sz w:val="24"/>
          <w:szCs w:val="24"/>
        </w:rPr>
      </w:pPr>
    </w:p>
    <w:p w14:paraId="164083F5" w14:textId="2E42B030" w:rsidR="00D276D6" w:rsidRPr="0059201A" w:rsidRDefault="00D276D6" w:rsidP="00D276D6">
      <w:pPr>
        <w:pStyle w:val="NoSpacing"/>
        <w:rPr>
          <w:sz w:val="24"/>
          <w:szCs w:val="24"/>
        </w:rPr>
      </w:pPr>
      <w:r w:rsidRPr="0059201A">
        <w:rPr>
          <w:sz w:val="24"/>
          <w:szCs w:val="24"/>
        </w:rPr>
        <w:t>Here plotting order parameter vs. T, but that isn’t necessary, can be p, etc.</w:t>
      </w:r>
    </w:p>
    <w:p w14:paraId="26BA3365" w14:textId="505274D8" w:rsidR="00D276D6" w:rsidRPr="0059201A" w:rsidRDefault="00D276D6" w:rsidP="00D276D6">
      <w:pPr>
        <w:pStyle w:val="NoSpacing"/>
        <w:rPr>
          <w:sz w:val="24"/>
          <w:szCs w:val="24"/>
        </w:rPr>
      </w:pPr>
    </w:p>
    <w:p w14:paraId="0659636E" w14:textId="1F1F4183" w:rsidR="00D276D6" w:rsidRPr="0059201A" w:rsidRDefault="00D276D6" w:rsidP="00D276D6">
      <w:pPr>
        <w:pStyle w:val="NoSpacing"/>
        <w:rPr>
          <w:sz w:val="24"/>
          <w:szCs w:val="24"/>
        </w:rPr>
      </w:pPr>
      <w:r w:rsidRPr="0059201A">
        <w:rPr>
          <w:noProof/>
          <w:sz w:val="24"/>
          <w:szCs w:val="24"/>
        </w:rPr>
        <w:drawing>
          <wp:inline distT="0" distB="0" distL="0" distR="0" wp14:anchorId="2B4A6BF5" wp14:editId="75DC4A67">
            <wp:extent cx="3634740" cy="1553673"/>
            <wp:effectExtent l="0" t="0" r="381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72379" cy="1569762"/>
                    </a:xfrm>
                    <a:prstGeom prst="rect">
                      <a:avLst/>
                    </a:prstGeom>
                  </pic:spPr>
                </pic:pic>
              </a:graphicData>
            </a:graphic>
          </wp:inline>
        </w:drawing>
      </w:r>
    </w:p>
    <w:p w14:paraId="0D210E3E" w14:textId="387B1852" w:rsidR="00D276D6" w:rsidRPr="0059201A" w:rsidRDefault="00D276D6" w:rsidP="00D276D6">
      <w:pPr>
        <w:pStyle w:val="NoSpacing"/>
        <w:rPr>
          <w:sz w:val="24"/>
          <w:szCs w:val="24"/>
        </w:rPr>
      </w:pPr>
    </w:p>
    <w:p w14:paraId="2CA336CF" w14:textId="1E5E9299" w:rsidR="00D276D6" w:rsidRPr="0059201A" w:rsidRDefault="00D276D6" w:rsidP="00D276D6">
      <w:pPr>
        <w:pStyle w:val="NoSpacing"/>
        <w:rPr>
          <w:sz w:val="24"/>
          <w:szCs w:val="24"/>
        </w:rPr>
      </w:pPr>
      <w:r w:rsidRPr="0059201A">
        <w:rPr>
          <w:sz w:val="24"/>
          <w:szCs w:val="24"/>
        </w:rPr>
        <w:t>Graphs below show how the order parameter as a function of some independent variable at different T’s (blue, red, black, in order of T), and can see how it goes from 1</w:t>
      </w:r>
      <w:r w:rsidRPr="0059201A">
        <w:rPr>
          <w:sz w:val="24"/>
          <w:szCs w:val="24"/>
          <w:vertAlign w:val="superscript"/>
        </w:rPr>
        <w:t>st</w:t>
      </w:r>
      <w:r w:rsidRPr="0059201A">
        <w:rPr>
          <w:sz w:val="24"/>
          <w:szCs w:val="24"/>
        </w:rPr>
        <w:t xml:space="preserve"> order to 2</w:t>
      </w:r>
      <w:r w:rsidRPr="0059201A">
        <w:rPr>
          <w:sz w:val="24"/>
          <w:szCs w:val="24"/>
          <w:vertAlign w:val="superscript"/>
        </w:rPr>
        <w:t>nd</w:t>
      </w:r>
      <w:r w:rsidRPr="0059201A">
        <w:rPr>
          <w:sz w:val="24"/>
          <w:szCs w:val="24"/>
        </w:rPr>
        <w:t xml:space="preserve"> order as we change </w:t>
      </w:r>
      <w:r w:rsidR="004D37C8" w:rsidRPr="0059201A">
        <w:rPr>
          <w:sz w:val="24"/>
          <w:szCs w:val="24"/>
        </w:rPr>
        <w:t>T.  Generally, as we approach the critical point, the first order discontinuities shrink, until they vanish at the critical point.  As illustrated below.</w:t>
      </w:r>
    </w:p>
    <w:p w14:paraId="6560CFA3" w14:textId="4914F580" w:rsidR="00D276D6" w:rsidRDefault="00D276D6" w:rsidP="00D276D6">
      <w:pPr>
        <w:pStyle w:val="NoSpacing"/>
        <w:rPr>
          <w:sz w:val="24"/>
          <w:szCs w:val="24"/>
        </w:rPr>
      </w:pPr>
    </w:p>
    <w:p w14:paraId="75E92FDC" w14:textId="2A8394CF" w:rsidR="00D276D6" w:rsidRDefault="00414FEC" w:rsidP="00D276D6">
      <w:pPr>
        <w:pStyle w:val="NoSpacing"/>
        <w:rPr>
          <w:sz w:val="24"/>
          <w:szCs w:val="24"/>
        </w:rPr>
      </w:pPr>
      <w:r w:rsidRPr="00414FEC">
        <w:rPr>
          <w:noProof/>
          <w:sz w:val="24"/>
          <w:szCs w:val="24"/>
        </w:rPr>
        <w:lastRenderedPageBreak/>
        <w:drawing>
          <wp:inline distT="0" distB="0" distL="0" distR="0" wp14:anchorId="14F091E2" wp14:editId="4E6D30ED">
            <wp:extent cx="5943600" cy="2110105"/>
            <wp:effectExtent l="0" t="0" r="0" b="4445"/>
            <wp:docPr id="6" name="Picture 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with medium confidence"/>
                    <pic:cNvPicPr/>
                  </pic:nvPicPr>
                  <pic:blipFill>
                    <a:blip r:embed="rId14"/>
                    <a:stretch>
                      <a:fillRect/>
                    </a:stretch>
                  </pic:blipFill>
                  <pic:spPr>
                    <a:xfrm>
                      <a:off x="0" y="0"/>
                      <a:ext cx="5943600" cy="2110105"/>
                    </a:xfrm>
                    <a:prstGeom prst="rect">
                      <a:avLst/>
                    </a:prstGeom>
                  </pic:spPr>
                </pic:pic>
              </a:graphicData>
            </a:graphic>
          </wp:inline>
        </w:drawing>
      </w:r>
    </w:p>
    <w:p w14:paraId="54F3C926" w14:textId="77777777" w:rsidR="005D48B6" w:rsidRPr="0059201A" w:rsidRDefault="005D48B6" w:rsidP="00D276D6">
      <w:pPr>
        <w:pStyle w:val="NoSpacing"/>
        <w:rPr>
          <w:sz w:val="24"/>
          <w:szCs w:val="24"/>
        </w:rPr>
      </w:pPr>
    </w:p>
    <w:p w14:paraId="319CA25B" w14:textId="5D903E2E" w:rsidR="00D276D6" w:rsidRPr="0059201A" w:rsidRDefault="00A44EF7" w:rsidP="00D276D6">
      <w:pPr>
        <w:pStyle w:val="NoSpacing"/>
        <w:rPr>
          <w:sz w:val="24"/>
          <w:szCs w:val="24"/>
        </w:rPr>
      </w:pPr>
      <w:r w:rsidRPr="0059201A">
        <w:rPr>
          <w:sz w:val="24"/>
          <w:szCs w:val="24"/>
        </w:rPr>
        <w:t xml:space="preserve">We can also characterize phase transitions by their potentials. </w:t>
      </w:r>
      <w:r w:rsidR="007D39DA">
        <w:rPr>
          <w:sz w:val="24"/>
          <w:szCs w:val="24"/>
        </w:rPr>
        <w:t xml:space="preserve"> I believe the potentials themselves are continuous across the phase boundaries.  But their derivatives may not be/probably aren’t</w:t>
      </w:r>
      <w:r w:rsidR="00740035">
        <w:rPr>
          <w:sz w:val="24"/>
          <w:szCs w:val="24"/>
        </w:rPr>
        <w:t>, and likewise their second derivatives.</w:t>
      </w:r>
      <w:r w:rsidR="007D39DA">
        <w:rPr>
          <w:sz w:val="24"/>
          <w:szCs w:val="24"/>
        </w:rPr>
        <w:t xml:space="preserve">  </w:t>
      </w:r>
    </w:p>
    <w:p w14:paraId="7F27BFB8" w14:textId="77777777" w:rsidR="004D37C8" w:rsidRPr="0059201A" w:rsidRDefault="004D37C8" w:rsidP="00D276D6">
      <w:pPr>
        <w:pStyle w:val="NoSpacing"/>
        <w:rPr>
          <w:sz w:val="24"/>
          <w:szCs w:val="24"/>
        </w:rPr>
      </w:pPr>
    </w:p>
    <w:p w14:paraId="6F568C0E" w14:textId="007F93D6" w:rsidR="004D37C8" w:rsidRPr="0059201A" w:rsidRDefault="004D37C8" w:rsidP="00B24842">
      <w:pPr>
        <w:pStyle w:val="NoSpacing"/>
        <w:pBdr>
          <w:top w:val="single" w:sz="4" w:space="1" w:color="auto"/>
          <w:left w:val="single" w:sz="4" w:space="4" w:color="auto"/>
          <w:bottom w:val="single" w:sz="4" w:space="1" w:color="auto"/>
          <w:right w:val="single" w:sz="4" w:space="0" w:color="auto"/>
        </w:pBdr>
        <w:rPr>
          <w:sz w:val="24"/>
          <w:szCs w:val="24"/>
        </w:rPr>
      </w:pPr>
      <w:r w:rsidRPr="0059201A">
        <w:rPr>
          <w:b/>
          <w:bCs/>
          <w:sz w:val="24"/>
          <w:szCs w:val="24"/>
        </w:rPr>
        <w:t>First order phase transition:</w:t>
      </w:r>
      <w:r w:rsidRPr="0059201A">
        <w:rPr>
          <w:sz w:val="24"/>
          <w:szCs w:val="24"/>
        </w:rPr>
        <w:t xml:space="preserve"> characterized by discontinuity </w:t>
      </w:r>
      <w:r w:rsidR="007D39DA">
        <w:rPr>
          <w:sz w:val="24"/>
          <w:szCs w:val="24"/>
        </w:rPr>
        <w:t xml:space="preserve">in first derivative of </w:t>
      </w:r>
      <w:r w:rsidRPr="0059201A">
        <w:rPr>
          <w:sz w:val="24"/>
          <w:szCs w:val="24"/>
        </w:rPr>
        <w:t>potentials, generally.</w:t>
      </w:r>
    </w:p>
    <w:p w14:paraId="36C1BCCF" w14:textId="601EF740" w:rsidR="004D37C8" w:rsidRPr="0059201A" w:rsidRDefault="004D37C8" w:rsidP="00B24842">
      <w:pPr>
        <w:pStyle w:val="NoSpacing"/>
        <w:pBdr>
          <w:top w:val="single" w:sz="4" w:space="1" w:color="auto"/>
          <w:left w:val="single" w:sz="4" w:space="4" w:color="auto"/>
          <w:bottom w:val="single" w:sz="4" w:space="1" w:color="auto"/>
          <w:right w:val="single" w:sz="4" w:space="0" w:color="auto"/>
        </w:pBdr>
        <w:rPr>
          <w:sz w:val="24"/>
          <w:szCs w:val="24"/>
        </w:rPr>
      </w:pPr>
      <w:r w:rsidRPr="0059201A">
        <w:rPr>
          <w:b/>
          <w:bCs/>
          <w:sz w:val="24"/>
          <w:szCs w:val="24"/>
        </w:rPr>
        <w:t xml:space="preserve">Second order phase transition: </w:t>
      </w:r>
      <w:r w:rsidRPr="0059201A">
        <w:rPr>
          <w:sz w:val="24"/>
          <w:szCs w:val="24"/>
        </w:rPr>
        <w:t xml:space="preserve">characterized by </w:t>
      </w:r>
      <w:r w:rsidR="007D39DA">
        <w:rPr>
          <w:sz w:val="24"/>
          <w:szCs w:val="24"/>
        </w:rPr>
        <w:t>discontinuity in second derivatives of potentials.</w:t>
      </w:r>
    </w:p>
    <w:p w14:paraId="27D2F9D3" w14:textId="74822AF3" w:rsidR="004D37C8" w:rsidRPr="0059201A" w:rsidRDefault="004D37C8" w:rsidP="004D37C8">
      <w:pPr>
        <w:pStyle w:val="NoSpacing"/>
        <w:rPr>
          <w:sz w:val="24"/>
          <w:szCs w:val="24"/>
        </w:rPr>
      </w:pPr>
    </w:p>
    <w:p w14:paraId="40B695A0" w14:textId="3E973396" w:rsidR="00A44EF7" w:rsidRPr="0059201A" w:rsidRDefault="00A44EF7" w:rsidP="004D37C8">
      <w:pPr>
        <w:pStyle w:val="NoSpacing"/>
        <w:rPr>
          <w:sz w:val="24"/>
          <w:szCs w:val="24"/>
        </w:rPr>
      </w:pPr>
      <w:r w:rsidRPr="0059201A">
        <w:rPr>
          <w:sz w:val="24"/>
          <w:szCs w:val="24"/>
        </w:rPr>
        <w:t xml:space="preserve">Consider the phase diagram below, </w:t>
      </w:r>
    </w:p>
    <w:p w14:paraId="377F5F8A" w14:textId="77777777" w:rsidR="00A44EF7" w:rsidRPr="0059201A" w:rsidRDefault="00A44EF7" w:rsidP="004D37C8">
      <w:pPr>
        <w:pStyle w:val="NoSpacing"/>
        <w:rPr>
          <w:sz w:val="24"/>
          <w:szCs w:val="24"/>
        </w:rPr>
      </w:pPr>
    </w:p>
    <w:p w14:paraId="5FF6BEF0" w14:textId="29424C89" w:rsidR="004D37C8" w:rsidRPr="0059201A" w:rsidRDefault="00A44EF7" w:rsidP="004D37C8">
      <w:pPr>
        <w:pStyle w:val="NoSpacing"/>
        <w:rPr>
          <w:sz w:val="24"/>
          <w:szCs w:val="24"/>
        </w:rPr>
      </w:pPr>
      <w:r w:rsidRPr="0059201A">
        <w:rPr>
          <w:noProof/>
          <w:sz w:val="24"/>
          <w:szCs w:val="24"/>
        </w:rPr>
        <w:drawing>
          <wp:inline distT="0" distB="0" distL="0" distR="0" wp14:anchorId="6F7EE494" wp14:editId="12EA730E">
            <wp:extent cx="1758950" cy="1731177"/>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80405" cy="1752293"/>
                    </a:xfrm>
                    <a:prstGeom prst="rect">
                      <a:avLst/>
                    </a:prstGeom>
                  </pic:spPr>
                </pic:pic>
              </a:graphicData>
            </a:graphic>
          </wp:inline>
        </w:drawing>
      </w:r>
    </w:p>
    <w:p w14:paraId="2FEC6682" w14:textId="77777777" w:rsidR="00A44EF7" w:rsidRPr="0059201A" w:rsidRDefault="00A44EF7" w:rsidP="004D37C8">
      <w:pPr>
        <w:pStyle w:val="NoSpacing"/>
        <w:rPr>
          <w:sz w:val="24"/>
          <w:szCs w:val="24"/>
        </w:rPr>
      </w:pPr>
    </w:p>
    <w:p w14:paraId="71ADDC14" w14:textId="0AAB572A" w:rsidR="00A44EF7" w:rsidRPr="0059201A" w:rsidRDefault="000D16EB" w:rsidP="004D37C8">
      <w:pPr>
        <w:pStyle w:val="NoSpacing"/>
        <w:rPr>
          <w:sz w:val="24"/>
          <w:szCs w:val="24"/>
        </w:rPr>
      </w:pPr>
      <w:r>
        <w:rPr>
          <w:sz w:val="24"/>
          <w:szCs w:val="24"/>
        </w:rPr>
        <w:t xml:space="preserve">Since we’re dealing with T and p, the relevant potential is G(T,p), which, in differential form is dG = -SdT – Vdp.  So the first derivatives are S and V basically.  Therefore we ‘expect’ these to be discontinuous across the phase boundary, at least up till the critical point.  </w:t>
      </w:r>
      <w:r w:rsidR="00740035">
        <w:rPr>
          <w:sz w:val="24"/>
          <w:szCs w:val="24"/>
        </w:rPr>
        <w:t>This coheres with our order parameter discusion:</w:t>
      </w:r>
      <w:r w:rsidR="00740035" w:rsidRPr="0059201A">
        <w:rPr>
          <w:sz w:val="24"/>
          <w:szCs w:val="24"/>
        </w:rPr>
        <w:t xml:space="preserve"> first order phase transitions are characterized by a discrete change in entropy across the boundary, and second order phase transitions by a continuous change.  This generally indicates that the PE/structure of the system is changing.  </w:t>
      </w:r>
      <w:r>
        <w:rPr>
          <w:sz w:val="24"/>
          <w:szCs w:val="24"/>
        </w:rPr>
        <w:t>Some second derivative quantities are, among other choices, C = T</w:t>
      </w:r>
      <w:r>
        <w:rPr>
          <w:rFonts w:ascii="Calibri" w:hAnsi="Calibri" w:cs="Calibri"/>
          <w:sz w:val="24"/>
          <w:szCs w:val="24"/>
        </w:rPr>
        <w:t>∂</w:t>
      </w:r>
      <w:r>
        <w:rPr>
          <w:sz w:val="24"/>
          <w:szCs w:val="24"/>
        </w:rPr>
        <w:t>S/</w:t>
      </w:r>
      <w:r>
        <w:rPr>
          <w:rFonts w:ascii="Calibri" w:hAnsi="Calibri" w:cs="Calibri"/>
          <w:sz w:val="24"/>
          <w:szCs w:val="24"/>
        </w:rPr>
        <w:t>∂</w:t>
      </w:r>
      <w:r>
        <w:rPr>
          <w:sz w:val="24"/>
          <w:szCs w:val="24"/>
        </w:rPr>
        <w:t xml:space="preserve">T, and </w:t>
      </w:r>
      <w:r>
        <w:rPr>
          <w:rFonts w:ascii="Calibri" w:hAnsi="Calibri" w:cs="Calibri"/>
          <w:sz w:val="24"/>
          <w:szCs w:val="24"/>
        </w:rPr>
        <w:t>κ</w:t>
      </w:r>
      <w:r>
        <w:rPr>
          <w:sz w:val="24"/>
          <w:szCs w:val="24"/>
          <w:vertAlign w:val="subscript"/>
        </w:rPr>
        <w:t>T</w:t>
      </w:r>
      <w:r>
        <w:rPr>
          <w:sz w:val="24"/>
          <w:szCs w:val="24"/>
        </w:rPr>
        <w:t xml:space="preserve"> = V</w:t>
      </w:r>
      <w:r>
        <w:rPr>
          <w:sz w:val="24"/>
          <w:szCs w:val="24"/>
          <w:vertAlign w:val="superscript"/>
        </w:rPr>
        <w:t>-1</w:t>
      </w:r>
      <w:r>
        <w:rPr>
          <w:sz w:val="24"/>
          <w:szCs w:val="24"/>
        </w:rPr>
        <w:t>(</w:t>
      </w:r>
      <w:r>
        <w:rPr>
          <w:rFonts w:ascii="Calibri" w:hAnsi="Calibri" w:cs="Calibri"/>
          <w:sz w:val="24"/>
          <w:szCs w:val="24"/>
        </w:rPr>
        <w:t>∂</w:t>
      </w:r>
      <w:r>
        <w:rPr>
          <w:sz w:val="24"/>
          <w:szCs w:val="24"/>
        </w:rPr>
        <w:t>V/</w:t>
      </w:r>
      <w:r>
        <w:rPr>
          <w:rFonts w:ascii="Calibri" w:hAnsi="Calibri" w:cs="Calibri"/>
          <w:sz w:val="24"/>
          <w:szCs w:val="24"/>
        </w:rPr>
        <w:t>∂</w:t>
      </w:r>
      <w:r>
        <w:rPr>
          <w:sz w:val="24"/>
          <w:szCs w:val="24"/>
        </w:rPr>
        <w:t>T)</w:t>
      </w:r>
      <w:r>
        <w:rPr>
          <w:sz w:val="24"/>
          <w:szCs w:val="24"/>
          <w:vertAlign w:val="subscript"/>
        </w:rPr>
        <w:t>p</w:t>
      </w:r>
      <w:r>
        <w:rPr>
          <w:sz w:val="24"/>
          <w:szCs w:val="24"/>
        </w:rPr>
        <w:t xml:space="preserve">.  So note </w:t>
      </w:r>
      <w:r w:rsidR="00A44EF7" w:rsidRPr="0059201A">
        <w:rPr>
          <w:sz w:val="24"/>
          <w:szCs w:val="24"/>
        </w:rPr>
        <w:t xml:space="preserve">how the </w:t>
      </w:r>
      <w:r>
        <w:rPr>
          <w:sz w:val="24"/>
          <w:szCs w:val="24"/>
        </w:rPr>
        <w:t>first derivatives</w:t>
      </w:r>
      <w:r w:rsidR="00A44EF7" w:rsidRPr="0059201A">
        <w:rPr>
          <w:sz w:val="24"/>
          <w:szCs w:val="24"/>
        </w:rPr>
        <w:t xml:space="preserve">, </w:t>
      </w:r>
      <w:r>
        <w:rPr>
          <w:sz w:val="24"/>
          <w:szCs w:val="24"/>
        </w:rPr>
        <w:t xml:space="preserve">second </w:t>
      </w:r>
      <w:r w:rsidR="00A44EF7" w:rsidRPr="0059201A">
        <w:rPr>
          <w:sz w:val="24"/>
          <w:szCs w:val="24"/>
        </w:rPr>
        <w:t>derivatives, change as we closer to the critical point:</w:t>
      </w:r>
    </w:p>
    <w:p w14:paraId="0F5A5C11" w14:textId="1B254971" w:rsidR="00A44EF7" w:rsidRPr="0059201A" w:rsidRDefault="00A44EF7" w:rsidP="004D37C8">
      <w:pPr>
        <w:pStyle w:val="NoSpacing"/>
        <w:rPr>
          <w:sz w:val="24"/>
          <w:szCs w:val="24"/>
        </w:rPr>
      </w:pPr>
    </w:p>
    <w:p w14:paraId="007F4115" w14:textId="2A95A393" w:rsidR="00A44EF7" w:rsidRPr="0059201A" w:rsidRDefault="00414FEC" w:rsidP="004D37C8">
      <w:pPr>
        <w:pStyle w:val="NoSpacing"/>
        <w:rPr>
          <w:sz w:val="24"/>
          <w:szCs w:val="24"/>
        </w:rPr>
      </w:pPr>
      <w:r w:rsidRPr="00414FEC">
        <w:rPr>
          <w:noProof/>
          <w:sz w:val="24"/>
          <w:szCs w:val="24"/>
        </w:rPr>
        <w:lastRenderedPageBreak/>
        <w:drawing>
          <wp:inline distT="0" distB="0" distL="0" distR="0" wp14:anchorId="49B1116C" wp14:editId="172DCB9D">
            <wp:extent cx="4862945" cy="3052849"/>
            <wp:effectExtent l="0" t="0" r="0" b="0"/>
            <wp:docPr id="7" name="Picture 7" descr="Chart, radar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radar chart, line chart&#10;&#10;Description automatically generated"/>
                    <pic:cNvPicPr/>
                  </pic:nvPicPr>
                  <pic:blipFill>
                    <a:blip r:embed="rId16"/>
                    <a:stretch>
                      <a:fillRect/>
                    </a:stretch>
                  </pic:blipFill>
                  <pic:spPr>
                    <a:xfrm>
                      <a:off x="0" y="0"/>
                      <a:ext cx="4865779" cy="3054628"/>
                    </a:xfrm>
                    <a:prstGeom prst="rect">
                      <a:avLst/>
                    </a:prstGeom>
                  </pic:spPr>
                </pic:pic>
              </a:graphicData>
            </a:graphic>
          </wp:inline>
        </w:drawing>
      </w:r>
    </w:p>
    <w:p w14:paraId="6529BE83" w14:textId="0D7E95F6" w:rsidR="00576767" w:rsidRPr="0059201A" w:rsidRDefault="00576767" w:rsidP="004D37C8">
      <w:pPr>
        <w:pStyle w:val="NoSpacing"/>
        <w:rPr>
          <w:sz w:val="24"/>
          <w:szCs w:val="24"/>
        </w:rPr>
      </w:pPr>
    </w:p>
    <w:p w14:paraId="63F7F4AD" w14:textId="12B1E688" w:rsidR="00740035" w:rsidRPr="00740035" w:rsidRDefault="00A44EF7" w:rsidP="00A44EF7">
      <w:pPr>
        <w:pStyle w:val="NoSpacing"/>
        <w:rPr>
          <w:sz w:val="24"/>
          <w:szCs w:val="24"/>
        </w:rPr>
      </w:pPr>
      <w:r w:rsidRPr="0059201A">
        <w:rPr>
          <w:sz w:val="24"/>
          <w:szCs w:val="24"/>
        </w:rPr>
        <w:t>Generally, as we approach the critical point, the first order discontinuities shrink</w:t>
      </w:r>
      <w:r w:rsidR="00740035">
        <w:rPr>
          <w:sz w:val="24"/>
          <w:szCs w:val="24"/>
        </w:rPr>
        <w:t>,</w:t>
      </w:r>
      <w:r w:rsidRPr="0059201A">
        <w:rPr>
          <w:sz w:val="24"/>
          <w:szCs w:val="24"/>
        </w:rPr>
        <w:t xml:space="preserve"> until they vanish at the critical point.  </w:t>
      </w:r>
      <w:r w:rsidR="00E30F56" w:rsidRPr="0059201A">
        <w:rPr>
          <w:sz w:val="24"/>
          <w:szCs w:val="24"/>
        </w:rPr>
        <w:t xml:space="preserve">But often the singularities in the derivatives remain.  </w:t>
      </w:r>
      <w:r w:rsidR="00740035">
        <w:rPr>
          <w:sz w:val="24"/>
          <w:szCs w:val="24"/>
        </w:rPr>
        <w:t xml:space="preserve">What about other potentials and their natural variables?  Say S(E,V), and dS = (1/T)dE – (p/T)dV.  So we’d allege that 1/T, and p/T are discontinuous functions of E and V across the boundary?  Well holding V constant across the solid-liquid boundary, certainly E will increase while 1/T will remain flat.  So maybe not discontinuous, but certainly </w:t>
      </w:r>
      <w:r w:rsidR="00676DA8">
        <w:rPr>
          <w:sz w:val="24"/>
          <w:szCs w:val="24"/>
        </w:rPr>
        <w:t xml:space="preserve">the second derivative </w:t>
      </w:r>
      <w:r w:rsidR="00740035">
        <w:rPr>
          <w:rFonts w:ascii="Calibri" w:hAnsi="Calibri" w:cs="Calibri"/>
          <w:sz w:val="24"/>
          <w:szCs w:val="24"/>
        </w:rPr>
        <w:t>∂</w:t>
      </w:r>
      <w:r w:rsidR="00740035">
        <w:rPr>
          <w:sz w:val="24"/>
          <w:szCs w:val="24"/>
        </w:rPr>
        <w:t>(1/T)/</w:t>
      </w:r>
      <w:r w:rsidR="00740035">
        <w:rPr>
          <w:rFonts w:ascii="Calibri" w:hAnsi="Calibri" w:cs="Calibri"/>
          <w:sz w:val="24"/>
          <w:szCs w:val="24"/>
        </w:rPr>
        <w:t>∂</w:t>
      </w:r>
      <w:r w:rsidR="00740035">
        <w:rPr>
          <w:sz w:val="24"/>
          <w:szCs w:val="24"/>
        </w:rPr>
        <w:t>E|</w:t>
      </w:r>
      <w:r w:rsidR="00740035">
        <w:rPr>
          <w:sz w:val="24"/>
          <w:szCs w:val="24"/>
          <w:vertAlign w:val="subscript"/>
        </w:rPr>
        <w:t>V</w:t>
      </w:r>
      <w:r w:rsidR="00740035">
        <w:rPr>
          <w:sz w:val="24"/>
          <w:szCs w:val="24"/>
        </w:rPr>
        <w:t xml:space="preserve"> will be (which is related to C</w:t>
      </w:r>
      <w:r w:rsidR="00740035">
        <w:rPr>
          <w:sz w:val="24"/>
          <w:szCs w:val="24"/>
          <w:vertAlign w:val="subscript"/>
        </w:rPr>
        <w:t>v</w:t>
      </w:r>
      <w:r w:rsidR="00740035">
        <w:rPr>
          <w:sz w:val="24"/>
          <w:szCs w:val="24"/>
        </w:rPr>
        <w:t xml:space="preserve">).  Anyway, I suspect there are at least non-analytic features across these phase boundaries.  </w:t>
      </w:r>
    </w:p>
    <w:p w14:paraId="0C7AEF36" w14:textId="623948A5" w:rsidR="00576767" w:rsidRPr="0059201A" w:rsidRDefault="00576767" w:rsidP="004D37C8">
      <w:pPr>
        <w:pStyle w:val="NoSpacing"/>
        <w:rPr>
          <w:sz w:val="24"/>
          <w:szCs w:val="24"/>
        </w:rPr>
      </w:pPr>
    </w:p>
    <w:p w14:paraId="4AA4DF12" w14:textId="53ECFFB2" w:rsidR="00E30F56" w:rsidRPr="0059201A" w:rsidRDefault="00E30F56" w:rsidP="004D37C8">
      <w:pPr>
        <w:pStyle w:val="NoSpacing"/>
        <w:rPr>
          <w:b/>
          <w:sz w:val="28"/>
          <w:szCs w:val="28"/>
        </w:rPr>
      </w:pPr>
      <w:r w:rsidRPr="0059201A">
        <w:rPr>
          <w:b/>
          <w:sz w:val="28"/>
          <w:szCs w:val="28"/>
        </w:rPr>
        <w:t>Introducing critical point parameters</w:t>
      </w:r>
      <w:r w:rsidR="00B44D4B">
        <w:rPr>
          <w:b/>
          <w:sz w:val="28"/>
          <w:szCs w:val="28"/>
        </w:rPr>
        <w:t>/exponents</w:t>
      </w:r>
    </w:p>
    <w:p w14:paraId="04247EEE" w14:textId="609ACEB4" w:rsidR="00E30F56" w:rsidRPr="0059201A" w:rsidRDefault="00E30F56" w:rsidP="00E30F56">
      <w:pPr>
        <w:pStyle w:val="NoSpacing"/>
        <w:rPr>
          <w:sz w:val="24"/>
          <w:szCs w:val="24"/>
        </w:rPr>
      </w:pPr>
      <w:r w:rsidRPr="0059201A">
        <w:rPr>
          <w:sz w:val="24"/>
          <w:szCs w:val="24"/>
        </w:rPr>
        <w:t>To characterize the functional form of the order parameters/derivatives as a function of T, p, across the transition and near the critical point, we’ll introduce the following functions.  Probably doesn’t matter how we approach the critical point in the last three.  So first we’d like to examine how the order parameter behaves along the coexistence curve as we approach the critical point:</w:t>
      </w:r>
    </w:p>
    <w:p w14:paraId="2DF8B525" w14:textId="394A198B" w:rsidR="00E30F56" w:rsidRPr="0059201A" w:rsidRDefault="00E30F56" w:rsidP="00E30F56">
      <w:pPr>
        <w:pStyle w:val="NoSpacing"/>
        <w:rPr>
          <w:sz w:val="24"/>
          <w:szCs w:val="24"/>
        </w:rPr>
      </w:pPr>
    </w:p>
    <w:p w14:paraId="1CBF3552" w14:textId="251EB9C3" w:rsidR="00E30F56" w:rsidRPr="0059201A" w:rsidRDefault="001F528C" w:rsidP="004D37C8">
      <w:pPr>
        <w:pStyle w:val="NoSpacing"/>
        <w:rPr>
          <w:sz w:val="24"/>
          <w:szCs w:val="24"/>
        </w:rPr>
      </w:pPr>
      <w:r>
        <w:rPr>
          <w:sz w:val="24"/>
          <w:szCs w:val="24"/>
        </w:rPr>
        <w:object w:dxaOrig="7549" w:dyaOrig="2112" w14:anchorId="412B2936">
          <v:shape id="_x0000_i1027" type="#_x0000_t75" style="width:452.75pt;height:117.25pt" o:ole="">
            <v:imagedata r:id="rId17" o:title="" cropbottom="5591f" cropright="521f"/>
          </v:shape>
          <o:OLEObject Type="Embed" ProgID="PBrush" ShapeID="_x0000_i1027" DrawAspect="Content" ObjectID="_1828351802" r:id="rId18"/>
        </w:object>
      </w:r>
    </w:p>
    <w:p w14:paraId="371DBF6B" w14:textId="0B45392A" w:rsidR="00E30F56" w:rsidRPr="0059201A" w:rsidRDefault="00E30F56" w:rsidP="004D37C8">
      <w:pPr>
        <w:pStyle w:val="NoSpacing"/>
        <w:rPr>
          <w:sz w:val="24"/>
          <w:szCs w:val="24"/>
        </w:rPr>
      </w:pPr>
    </w:p>
    <w:p w14:paraId="20A6BD78" w14:textId="7454B638" w:rsidR="007E4F03" w:rsidRDefault="006A0960" w:rsidP="006A0960">
      <w:pPr>
        <w:pStyle w:val="NoSpacing"/>
        <w:rPr>
          <w:sz w:val="24"/>
          <w:szCs w:val="24"/>
        </w:rPr>
      </w:pPr>
      <w:r w:rsidRPr="0059201A">
        <w:rPr>
          <w:sz w:val="24"/>
          <w:szCs w:val="24"/>
        </w:rPr>
        <w:lastRenderedPageBreak/>
        <w:t>As you go up the line, approaching T</w:t>
      </w:r>
      <w:r w:rsidRPr="0059201A">
        <w:rPr>
          <w:sz w:val="24"/>
          <w:szCs w:val="24"/>
          <w:vertAlign w:val="subscript"/>
        </w:rPr>
        <w:t>C</w:t>
      </w:r>
      <w:r w:rsidRPr="0059201A">
        <w:rPr>
          <w:sz w:val="24"/>
          <w:szCs w:val="24"/>
        </w:rPr>
        <w:t xml:space="preserve">, </w:t>
      </w:r>
      <w:r w:rsidR="007E4F03">
        <w:rPr>
          <w:sz w:val="24"/>
          <w:szCs w:val="24"/>
        </w:rPr>
        <w:t xml:space="preserve">the order parameter will go to zero.  In fluids, the order parameter is usually taken to be </w:t>
      </w:r>
      <w:r w:rsidR="007E4F03">
        <w:rPr>
          <w:rFonts w:ascii="Calibri" w:hAnsi="Calibri" w:cs="Calibri"/>
          <w:sz w:val="24"/>
          <w:szCs w:val="24"/>
        </w:rPr>
        <w:t>φ</w:t>
      </w:r>
      <w:r w:rsidR="007E4F03">
        <w:rPr>
          <w:sz w:val="24"/>
          <w:szCs w:val="24"/>
        </w:rPr>
        <w:t xml:space="preserve"> = </w:t>
      </w:r>
      <w:r w:rsidR="007E4F03" w:rsidRPr="007E4F03">
        <w:rPr>
          <w:sz w:val="24"/>
          <w:szCs w:val="24"/>
          <w:u w:val="single"/>
        </w:rPr>
        <w:t>V</w:t>
      </w:r>
      <w:r w:rsidR="007E4F03">
        <w:rPr>
          <w:sz w:val="24"/>
          <w:szCs w:val="24"/>
          <w:vertAlign w:val="subscript"/>
        </w:rPr>
        <w:t>g</w:t>
      </w:r>
      <w:r w:rsidR="007E4F03">
        <w:rPr>
          <w:sz w:val="24"/>
          <w:szCs w:val="24"/>
        </w:rPr>
        <w:t xml:space="preserve"> - </w:t>
      </w:r>
      <w:r w:rsidR="007E4F03" w:rsidRPr="007E4F03">
        <w:rPr>
          <w:sz w:val="24"/>
          <w:szCs w:val="24"/>
          <w:u w:val="single"/>
        </w:rPr>
        <w:t>V</w:t>
      </w:r>
      <w:r w:rsidR="007E4F03">
        <w:rPr>
          <w:sz w:val="24"/>
          <w:szCs w:val="24"/>
          <w:vertAlign w:val="subscript"/>
        </w:rPr>
        <w:t>L</w:t>
      </w:r>
      <w:r w:rsidR="007E4F03">
        <w:rPr>
          <w:sz w:val="24"/>
          <w:szCs w:val="24"/>
        </w:rPr>
        <w:t xml:space="preserve"> (difference in volume per particle or molar volume between the gas and liquid phases).  In magnetic systems, the order parameter, </w:t>
      </w:r>
      <w:r w:rsidR="007E4F03">
        <w:rPr>
          <w:rFonts w:ascii="Calibri" w:hAnsi="Calibri" w:cs="Calibri"/>
          <w:sz w:val="24"/>
          <w:szCs w:val="24"/>
        </w:rPr>
        <w:t>φ</w:t>
      </w:r>
      <w:r w:rsidR="001F528C">
        <w:rPr>
          <w:rFonts w:ascii="Calibri" w:hAnsi="Calibri" w:cs="Calibri"/>
          <w:sz w:val="24"/>
          <w:szCs w:val="24"/>
        </w:rPr>
        <w:t xml:space="preserve"> could be written as φ = &lt;m</w:t>
      </w:r>
      <w:r w:rsidR="001F528C">
        <w:rPr>
          <w:rFonts w:ascii="Calibri" w:hAnsi="Calibri" w:cs="Calibri"/>
          <w:sz w:val="24"/>
          <w:szCs w:val="24"/>
          <w:vertAlign w:val="subscript"/>
        </w:rPr>
        <w:t>h+</w:t>
      </w:r>
      <w:r w:rsidR="001F528C">
        <w:rPr>
          <w:rFonts w:ascii="Calibri" w:hAnsi="Calibri" w:cs="Calibri"/>
          <w:sz w:val="24"/>
          <w:szCs w:val="24"/>
        </w:rPr>
        <w:t>&gt; - &lt;m</w:t>
      </w:r>
      <w:r w:rsidR="001F528C">
        <w:rPr>
          <w:rFonts w:ascii="Calibri" w:hAnsi="Calibri" w:cs="Calibri"/>
          <w:sz w:val="24"/>
          <w:szCs w:val="24"/>
          <w:vertAlign w:val="subscript"/>
        </w:rPr>
        <w:t>h-</w:t>
      </w:r>
      <w:r w:rsidR="001F528C">
        <w:rPr>
          <w:rFonts w:ascii="Calibri" w:hAnsi="Calibri" w:cs="Calibri"/>
          <w:sz w:val="24"/>
          <w:szCs w:val="24"/>
        </w:rPr>
        <w:t>&gt; where h+ and h- mean just a shade above 0 and just a shade below 0.  These two will be equal and opposite though, so</w:t>
      </w:r>
      <w:r w:rsidR="005D79B4">
        <w:rPr>
          <w:rFonts w:ascii="Calibri" w:hAnsi="Calibri" w:cs="Calibri"/>
          <w:sz w:val="24"/>
          <w:szCs w:val="24"/>
        </w:rPr>
        <w:t xml:space="preserve"> we could say φ = 2&lt;m</w:t>
      </w:r>
      <w:r w:rsidR="005D79B4">
        <w:rPr>
          <w:rFonts w:ascii="Calibri" w:hAnsi="Calibri" w:cs="Calibri"/>
          <w:sz w:val="24"/>
          <w:szCs w:val="24"/>
          <w:vertAlign w:val="subscript"/>
        </w:rPr>
        <w:t>h+</w:t>
      </w:r>
      <w:r w:rsidR="005D79B4">
        <w:rPr>
          <w:rFonts w:ascii="Calibri" w:hAnsi="Calibri" w:cs="Calibri"/>
          <w:sz w:val="24"/>
          <w:szCs w:val="24"/>
        </w:rPr>
        <w:t xml:space="preserve">&gt;, but instead we just say </w:t>
      </w:r>
      <w:r w:rsidR="001F528C">
        <w:rPr>
          <w:rFonts w:ascii="Calibri" w:hAnsi="Calibri" w:cs="Calibri"/>
          <w:sz w:val="24"/>
          <w:szCs w:val="24"/>
        </w:rPr>
        <w:t>φ = &lt;m</w:t>
      </w:r>
      <w:r w:rsidR="001F528C">
        <w:rPr>
          <w:rFonts w:ascii="Calibri" w:hAnsi="Calibri" w:cs="Calibri"/>
          <w:sz w:val="24"/>
          <w:szCs w:val="24"/>
          <w:vertAlign w:val="subscript"/>
        </w:rPr>
        <w:t>h+</w:t>
      </w:r>
      <w:r w:rsidR="001F528C">
        <w:rPr>
          <w:rFonts w:ascii="Calibri" w:hAnsi="Calibri" w:cs="Calibri"/>
          <w:sz w:val="24"/>
          <w:szCs w:val="24"/>
        </w:rPr>
        <w:t xml:space="preserve">&gt;.  </w:t>
      </w:r>
      <w:r w:rsidR="007E4F03">
        <w:rPr>
          <w:sz w:val="24"/>
          <w:szCs w:val="24"/>
        </w:rPr>
        <w:t xml:space="preserve">Turns out they both go to zero according to the same power law, which defines the first critical exponent, </w:t>
      </w:r>
      <w:r w:rsidR="007E4F03">
        <w:rPr>
          <w:rFonts w:ascii="Calibri" w:hAnsi="Calibri" w:cs="Calibri"/>
          <w:sz w:val="24"/>
          <w:szCs w:val="24"/>
        </w:rPr>
        <w:t>β</w:t>
      </w:r>
      <w:r w:rsidR="007E4F03">
        <w:rPr>
          <w:sz w:val="24"/>
          <w:szCs w:val="24"/>
        </w:rPr>
        <w:t>:</w:t>
      </w:r>
    </w:p>
    <w:p w14:paraId="45967A33" w14:textId="77777777" w:rsidR="007E4F03" w:rsidRDefault="007E4F03" w:rsidP="006A0960">
      <w:pPr>
        <w:pStyle w:val="NoSpacing"/>
        <w:rPr>
          <w:sz w:val="24"/>
          <w:szCs w:val="24"/>
        </w:rPr>
      </w:pPr>
    </w:p>
    <w:p w14:paraId="0B8981FB" w14:textId="4169554B" w:rsidR="006A0960" w:rsidRPr="0059201A" w:rsidRDefault="000465AA" w:rsidP="004D37C8">
      <w:pPr>
        <w:pStyle w:val="NoSpacing"/>
        <w:rPr>
          <w:sz w:val="24"/>
          <w:szCs w:val="24"/>
        </w:rPr>
      </w:pPr>
      <w:r w:rsidRPr="0059201A">
        <w:rPr>
          <w:position w:val="-14"/>
          <w:sz w:val="24"/>
          <w:szCs w:val="24"/>
        </w:rPr>
        <w:object w:dxaOrig="1200" w:dyaOrig="440" w14:anchorId="1221C3E7">
          <v:shape id="_x0000_i1028" type="#_x0000_t75" style="width:60pt;height:21.8pt" o:ole="" filled="t" fillcolor="#cfc">
            <v:imagedata r:id="rId19" o:title=""/>
          </v:shape>
          <o:OLEObject Type="Embed" ProgID="Equation.DSMT4" ShapeID="_x0000_i1028" DrawAspect="Content" ObjectID="_1828351803" r:id="rId20"/>
        </w:object>
      </w:r>
    </w:p>
    <w:p w14:paraId="5C598BE7" w14:textId="7258FE8C" w:rsidR="006A0960" w:rsidRPr="0059201A" w:rsidRDefault="006A0960" w:rsidP="004D37C8">
      <w:pPr>
        <w:pStyle w:val="NoSpacing"/>
        <w:rPr>
          <w:sz w:val="24"/>
          <w:szCs w:val="24"/>
        </w:rPr>
      </w:pPr>
    </w:p>
    <w:p w14:paraId="5B2A34B2" w14:textId="76E1837E" w:rsidR="006A0960" w:rsidRPr="0059201A" w:rsidRDefault="006A0960" w:rsidP="004D37C8">
      <w:pPr>
        <w:pStyle w:val="NoSpacing"/>
        <w:rPr>
          <w:sz w:val="24"/>
          <w:szCs w:val="24"/>
        </w:rPr>
      </w:pPr>
      <w:r w:rsidRPr="0059201A">
        <w:rPr>
          <w:sz w:val="24"/>
          <w:szCs w:val="24"/>
        </w:rPr>
        <w:t xml:space="preserve">Now consider approaching from a different direction, at constant temperature.  </w:t>
      </w:r>
    </w:p>
    <w:p w14:paraId="48EED38A" w14:textId="0D362011" w:rsidR="006A0960" w:rsidRPr="0059201A" w:rsidRDefault="006A0960" w:rsidP="004D37C8">
      <w:pPr>
        <w:pStyle w:val="NoSpacing"/>
        <w:rPr>
          <w:sz w:val="24"/>
          <w:szCs w:val="24"/>
        </w:rPr>
      </w:pPr>
    </w:p>
    <w:p w14:paraId="7078D1DD" w14:textId="08D562F7" w:rsidR="006A0960" w:rsidRPr="0059201A" w:rsidRDefault="00084FD3" w:rsidP="004D37C8">
      <w:pPr>
        <w:pStyle w:val="NoSpacing"/>
        <w:rPr>
          <w:sz w:val="24"/>
          <w:szCs w:val="24"/>
        </w:rPr>
      </w:pPr>
      <w:r>
        <w:rPr>
          <w:sz w:val="24"/>
          <w:szCs w:val="24"/>
        </w:rPr>
        <w:object w:dxaOrig="7511" w:dyaOrig="2040" w14:anchorId="511414CA">
          <v:shape id="_x0000_i1029" type="#_x0000_t75" style="width:468pt;height:111.8pt" o:ole="">
            <v:imagedata r:id="rId21" o:title="" cropbottom="8353f" cropright="960f"/>
          </v:shape>
          <o:OLEObject Type="Embed" ProgID="PBrush" ShapeID="_x0000_i1029" DrawAspect="Content" ObjectID="_1828351804" r:id="rId22"/>
        </w:object>
      </w:r>
    </w:p>
    <w:p w14:paraId="788CA026" w14:textId="77777777" w:rsidR="006A0960" w:rsidRPr="0059201A" w:rsidRDefault="006A0960" w:rsidP="004D37C8">
      <w:pPr>
        <w:pStyle w:val="NoSpacing"/>
        <w:rPr>
          <w:sz w:val="24"/>
          <w:szCs w:val="24"/>
        </w:rPr>
      </w:pPr>
    </w:p>
    <w:p w14:paraId="5A451859" w14:textId="4B5C6042" w:rsidR="006A0960" w:rsidRPr="0059201A" w:rsidRDefault="001F528C" w:rsidP="006A0960">
      <w:pPr>
        <w:pStyle w:val="NoSpacing"/>
        <w:rPr>
          <w:sz w:val="24"/>
          <w:szCs w:val="24"/>
        </w:rPr>
      </w:pPr>
      <w:r>
        <w:rPr>
          <w:sz w:val="24"/>
          <w:szCs w:val="24"/>
        </w:rPr>
        <w:t xml:space="preserve">In the fluid case, we would be interested in </w:t>
      </w:r>
      <w:r>
        <w:rPr>
          <w:rFonts w:ascii="Calibri" w:hAnsi="Calibri" w:cs="Calibri"/>
          <w:sz w:val="24"/>
          <w:szCs w:val="24"/>
        </w:rPr>
        <w:t>φ</w:t>
      </w:r>
      <w:r>
        <w:rPr>
          <w:rFonts w:ascii="Calibri" w:hAnsi="Calibri" w:cs="Calibri"/>
          <w:sz w:val="24"/>
          <w:szCs w:val="24"/>
          <w:vertAlign w:val="subscript"/>
        </w:rPr>
        <w:t>c</w:t>
      </w:r>
      <w:r>
        <w:rPr>
          <w:rFonts w:ascii="Calibri" w:hAnsi="Calibri" w:cs="Calibri"/>
          <w:sz w:val="24"/>
          <w:szCs w:val="24"/>
        </w:rPr>
        <w:t xml:space="preserve"> = </w:t>
      </w:r>
      <w:r w:rsidRPr="001F528C">
        <w:rPr>
          <w:rFonts w:ascii="Calibri" w:hAnsi="Calibri" w:cs="Calibri"/>
          <w:sz w:val="24"/>
          <w:szCs w:val="24"/>
          <w:u w:val="single"/>
        </w:rPr>
        <w:t>V</w:t>
      </w:r>
      <w:r>
        <w:rPr>
          <w:rFonts w:ascii="Calibri" w:hAnsi="Calibri" w:cs="Calibri"/>
          <w:sz w:val="24"/>
          <w:szCs w:val="24"/>
          <w:vertAlign w:val="subscript"/>
        </w:rPr>
        <w:t>g</w:t>
      </w:r>
      <w:r>
        <w:rPr>
          <w:rFonts w:ascii="Calibri" w:hAnsi="Calibri" w:cs="Calibri"/>
          <w:sz w:val="24"/>
          <w:szCs w:val="24"/>
        </w:rPr>
        <w:t xml:space="preserve"> - </w:t>
      </w:r>
      <w:r w:rsidRPr="001F528C">
        <w:rPr>
          <w:rFonts w:ascii="Calibri" w:hAnsi="Calibri" w:cs="Calibri"/>
          <w:sz w:val="24"/>
          <w:szCs w:val="24"/>
          <w:u w:val="single"/>
        </w:rPr>
        <w:t>V</w:t>
      </w:r>
      <w:r>
        <w:rPr>
          <w:rFonts w:ascii="Calibri" w:hAnsi="Calibri" w:cs="Calibri"/>
          <w:sz w:val="24"/>
          <w:szCs w:val="24"/>
          <w:vertAlign w:val="subscript"/>
        </w:rPr>
        <w:t>c</w:t>
      </w:r>
      <w:r>
        <w:rPr>
          <w:sz w:val="24"/>
          <w:szCs w:val="24"/>
        </w:rPr>
        <w:t xml:space="preserve">, and c references the critical point.  In the magnetic systems case, rather </w:t>
      </w:r>
      <w:r>
        <w:rPr>
          <w:rFonts w:ascii="Calibri" w:hAnsi="Calibri" w:cs="Calibri"/>
          <w:sz w:val="24"/>
          <w:szCs w:val="24"/>
        </w:rPr>
        <w:t>φ</w:t>
      </w:r>
      <w:r>
        <w:rPr>
          <w:rFonts w:ascii="Calibri" w:hAnsi="Calibri" w:cs="Calibri"/>
          <w:sz w:val="24"/>
          <w:szCs w:val="24"/>
          <w:vertAlign w:val="subscript"/>
        </w:rPr>
        <w:t>c</w:t>
      </w:r>
      <w:r>
        <w:rPr>
          <w:sz w:val="24"/>
          <w:szCs w:val="24"/>
        </w:rPr>
        <w:t xml:space="preserve"> = &lt;m</w:t>
      </w:r>
      <w:r>
        <w:rPr>
          <w:sz w:val="24"/>
          <w:szCs w:val="24"/>
          <w:vertAlign w:val="subscript"/>
        </w:rPr>
        <w:t>h+</w:t>
      </w:r>
      <w:r>
        <w:rPr>
          <w:sz w:val="24"/>
          <w:szCs w:val="24"/>
        </w:rPr>
        <w:t>&gt; - &lt;m</w:t>
      </w:r>
      <w:r>
        <w:rPr>
          <w:sz w:val="24"/>
          <w:szCs w:val="24"/>
          <w:vertAlign w:val="subscript"/>
        </w:rPr>
        <w:t>c</w:t>
      </w:r>
      <w:r>
        <w:rPr>
          <w:sz w:val="24"/>
          <w:szCs w:val="24"/>
        </w:rPr>
        <w:t>&gt; = &lt;m</w:t>
      </w:r>
      <w:r>
        <w:rPr>
          <w:sz w:val="24"/>
          <w:szCs w:val="24"/>
          <w:vertAlign w:val="subscript"/>
        </w:rPr>
        <w:t>h+</w:t>
      </w:r>
      <w:r>
        <w:rPr>
          <w:sz w:val="24"/>
          <w:szCs w:val="24"/>
        </w:rPr>
        <w:t>&gt; (‘cause &lt;m</w:t>
      </w:r>
      <w:r>
        <w:rPr>
          <w:sz w:val="24"/>
          <w:szCs w:val="24"/>
          <w:vertAlign w:val="subscript"/>
        </w:rPr>
        <w:t>c</w:t>
      </w:r>
      <w:r>
        <w:rPr>
          <w:sz w:val="24"/>
          <w:szCs w:val="24"/>
        </w:rPr>
        <w:t xml:space="preserve">&gt; = 0) is what we’d calculate.  In any event, this too should go to zero, and does so according to the exponent </w:t>
      </w:r>
      <w:r>
        <w:rPr>
          <w:rFonts w:ascii="Calibri" w:hAnsi="Calibri" w:cs="Calibri"/>
          <w:sz w:val="24"/>
          <w:szCs w:val="24"/>
        </w:rPr>
        <w:t>δ</w:t>
      </w:r>
      <w:r w:rsidR="002F3FCA" w:rsidRPr="002F3FCA">
        <w:rPr>
          <w:sz w:val="24"/>
          <w:szCs w:val="24"/>
        </w:rPr>
        <w:t xml:space="preserve"> </w:t>
      </w:r>
      <w:r w:rsidR="002F3FCA">
        <w:rPr>
          <w:sz w:val="24"/>
          <w:szCs w:val="24"/>
        </w:rPr>
        <w:t>(of course h</w:t>
      </w:r>
      <w:r w:rsidR="002F3FCA">
        <w:rPr>
          <w:sz w:val="24"/>
          <w:szCs w:val="24"/>
          <w:vertAlign w:val="subscript"/>
        </w:rPr>
        <w:t>c</w:t>
      </w:r>
      <w:r w:rsidR="002F3FCA">
        <w:rPr>
          <w:sz w:val="24"/>
          <w:szCs w:val="24"/>
        </w:rPr>
        <w:t xml:space="preserve"> = 0).</w:t>
      </w:r>
      <w:r>
        <w:rPr>
          <w:sz w:val="24"/>
          <w:szCs w:val="24"/>
        </w:rPr>
        <w:t xml:space="preserve">  </w:t>
      </w:r>
    </w:p>
    <w:p w14:paraId="2E7787A9" w14:textId="16CD2C4E" w:rsidR="006A0960" w:rsidRPr="0059201A" w:rsidRDefault="006A0960" w:rsidP="004D37C8">
      <w:pPr>
        <w:pStyle w:val="NoSpacing"/>
        <w:rPr>
          <w:sz w:val="24"/>
          <w:szCs w:val="24"/>
        </w:rPr>
      </w:pPr>
    </w:p>
    <w:p w14:paraId="58296CD9" w14:textId="1F93859D" w:rsidR="006A0960" w:rsidRPr="0059201A" w:rsidRDefault="000465AA" w:rsidP="004D37C8">
      <w:pPr>
        <w:pStyle w:val="NoSpacing"/>
        <w:rPr>
          <w:sz w:val="24"/>
          <w:szCs w:val="24"/>
        </w:rPr>
      </w:pPr>
      <w:r w:rsidRPr="0059201A">
        <w:rPr>
          <w:position w:val="-14"/>
          <w:sz w:val="24"/>
          <w:szCs w:val="24"/>
        </w:rPr>
        <w:object w:dxaOrig="2360" w:dyaOrig="440" w14:anchorId="412CC4BE">
          <v:shape id="_x0000_i1030" type="#_x0000_t75" style="width:117.8pt;height:21.8pt" o:ole="" filled="t" fillcolor="#cfc">
            <v:imagedata r:id="rId23" o:title=""/>
          </v:shape>
          <o:OLEObject Type="Embed" ProgID="Equation.DSMT4" ShapeID="_x0000_i1030" DrawAspect="Content" ObjectID="_1828351805" r:id="rId24"/>
        </w:object>
      </w:r>
    </w:p>
    <w:p w14:paraId="7DACBE02" w14:textId="67025626" w:rsidR="006A0960" w:rsidRPr="0059201A" w:rsidRDefault="006A0960" w:rsidP="004D37C8">
      <w:pPr>
        <w:pStyle w:val="NoSpacing"/>
        <w:rPr>
          <w:sz w:val="24"/>
          <w:szCs w:val="24"/>
        </w:rPr>
      </w:pPr>
    </w:p>
    <w:p w14:paraId="168B16C0" w14:textId="1A4F129D" w:rsidR="006A0960" w:rsidRPr="0059201A" w:rsidRDefault="006A0960" w:rsidP="004D37C8">
      <w:pPr>
        <w:pStyle w:val="NoSpacing"/>
        <w:rPr>
          <w:sz w:val="24"/>
          <w:szCs w:val="24"/>
        </w:rPr>
      </w:pPr>
      <w:r w:rsidRPr="0059201A">
        <w:rPr>
          <w:sz w:val="24"/>
          <w:szCs w:val="24"/>
        </w:rPr>
        <w:t>Now take a l</w:t>
      </w:r>
      <w:r w:rsidR="00F71E7D" w:rsidRPr="0059201A">
        <w:rPr>
          <w:sz w:val="24"/>
          <w:szCs w:val="24"/>
        </w:rPr>
        <w:t>ook at the heat capacity along this curve…</w:t>
      </w:r>
    </w:p>
    <w:p w14:paraId="609B4F09" w14:textId="4133F000" w:rsidR="004C0252" w:rsidRPr="0059201A" w:rsidRDefault="004C0252" w:rsidP="004D37C8">
      <w:pPr>
        <w:pStyle w:val="NoSpacing"/>
        <w:rPr>
          <w:sz w:val="24"/>
          <w:szCs w:val="24"/>
        </w:rPr>
      </w:pPr>
    </w:p>
    <w:p w14:paraId="4CF2D185" w14:textId="7401CC38" w:rsidR="006A0960" w:rsidRDefault="002F3FCA" w:rsidP="004D37C8">
      <w:pPr>
        <w:pStyle w:val="NoSpacing"/>
        <w:rPr>
          <w:noProof/>
          <w:sz w:val="24"/>
          <w:szCs w:val="24"/>
        </w:rPr>
      </w:pPr>
      <w:r>
        <w:rPr>
          <w:noProof/>
          <w:sz w:val="24"/>
          <w:szCs w:val="24"/>
        </w:rPr>
        <w:object w:dxaOrig="7537" w:dyaOrig="2052" w14:anchorId="4E722032">
          <v:shape id="_x0000_i1031" type="#_x0000_t75" style="width:453.25pt;height:113.45pt" o:ole="">
            <v:imagedata r:id="rId25" o:title="" cropbottom="5754f" cropright="348f"/>
          </v:shape>
          <o:OLEObject Type="Embed" ProgID="PBrush" ShapeID="_x0000_i1031" DrawAspect="Content" ObjectID="_1828351806" r:id="rId26"/>
        </w:object>
      </w:r>
    </w:p>
    <w:p w14:paraId="0DD58056" w14:textId="77777777" w:rsidR="00B44D4B" w:rsidRPr="0059201A" w:rsidRDefault="00B44D4B" w:rsidP="004D37C8">
      <w:pPr>
        <w:pStyle w:val="NoSpacing"/>
        <w:rPr>
          <w:sz w:val="24"/>
          <w:szCs w:val="24"/>
        </w:rPr>
      </w:pPr>
    </w:p>
    <w:p w14:paraId="41EE2149" w14:textId="77777777" w:rsidR="00F71E7D" w:rsidRPr="0059201A" w:rsidRDefault="00F71E7D" w:rsidP="00F71E7D">
      <w:pPr>
        <w:pStyle w:val="NoSpacing"/>
        <w:rPr>
          <w:sz w:val="24"/>
          <w:szCs w:val="24"/>
        </w:rPr>
      </w:pPr>
      <w:r w:rsidRPr="0059201A">
        <w:rPr>
          <w:sz w:val="24"/>
          <w:szCs w:val="24"/>
        </w:rPr>
        <w:t>If go along this line, the heat capacity will diverge as approach T</w:t>
      </w:r>
      <w:r w:rsidRPr="0059201A">
        <w:rPr>
          <w:sz w:val="24"/>
          <w:szCs w:val="24"/>
          <w:vertAlign w:val="subscript"/>
        </w:rPr>
        <w:t>c</w:t>
      </w:r>
      <w:r w:rsidRPr="0059201A">
        <w:rPr>
          <w:sz w:val="24"/>
          <w:szCs w:val="24"/>
        </w:rPr>
        <w:t xml:space="preserve">.  </w:t>
      </w:r>
    </w:p>
    <w:p w14:paraId="74F72AA9" w14:textId="77777777" w:rsidR="006A0960" w:rsidRPr="0059201A" w:rsidRDefault="006A0960" w:rsidP="004D37C8">
      <w:pPr>
        <w:pStyle w:val="NoSpacing"/>
        <w:rPr>
          <w:sz w:val="24"/>
          <w:szCs w:val="24"/>
        </w:rPr>
      </w:pPr>
    </w:p>
    <w:p w14:paraId="091977CA" w14:textId="64DF051C" w:rsidR="006A0960" w:rsidRPr="0059201A" w:rsidRDefault="000465AA" w:rsidP="004D37C8">
      <w:pPr>
        <w:pStyle w:val="NoSpacing"/>
        <w:rPr>
          <w:sz w:val="24"/>
          <w:szCs w:val="24"/>
        </w:rPr>
      </w:pPr>
      <w:r w:rsidRPr="0059201A">
        <w:rPr>
          <w:position w:val="-14"/>
          <w:sz w:val="24"/>
          <w:szCs w:val="24"/>
        </w:rPr>
        <w:object w:dxaOrig="1420" w:dyaOrig="440" w14:anchorId="47DEBC0C">
          <v:shape id="_x0000_i1032" type="#_x0000_t75" style="width:70.9pt;height:21.8pt" o:ole="" filled="t" fillcolor="#cfc">
            <v:imagedata r:id="rId27" o:title=""/>
          </v:shape>
          <o:OLEObject Type="Embed" ProgID="Equation.DSMT4" ShapeID="_x0000_i1032" DrawAspect="Content" ObjectID="_1828351807" r:id="rId28"/>
        </w:object>
      </w:r>
    </w:p>
    <w:p w14:paraId="676B33FC" w14:textId="16B62FDA" w:rsidR="00F71E7D" w:rsidRPr="0059201A" w:rsidRDefault="00F71E7D" w:rsidP="004D37C8">
      <w:pPr>
        <w:pStyle w:val="NoSpacing"/>
        <w:rPr>
          <w:sz w:val="24"/>
          <w:szCs w:val="24"/>
        </w:rPr>
      </w:pPr>
    </w:p>
    <w:p w14:paraId="665687D9" w14:textId="39913A75" w:rsidR="00F71E7D" w:rsidRPr="0059201A" w:rsidRDefault="00F71E7D" w:rsidP="004D37C8">
      <w:pPr>
        <w:pStyle w:val="NoSpacing"/>
        <w:rPr>
          <w:sz w:val="24"/>
          <w:szCs w:val="24"/>
        </w:rPr>
      </w:pPr>
      <w:r w:rsidRPr="0059201A">
        <w:rPr>
          <w:sz w:val="24"/>
          <w:szCs w:val="24"/>
        </w:rPr>
        <w:lastRenderedPageBreak/>
        <w:t xml:space="preserve">and finally, consider the compressibility, </w:t>
      </w:r>
      <w:r w:rsidR="002F3FCA">
        <w:rPr>
          <w:sz w:val="24"/>
          <w:szCs w:val="24"/>
        </w:rPr>
        <w:t xml:space="preserve">magnetic </w:t>
      </w:r>
      <w:r w:rsidRPr="0059201A">
        <w:rPr>
          <w:sz w:val="24"/>
          <w:szCs w:val="24"/>
        </w:rPr>
        <w:t>susceptibility:</w:t>
      </w:r>
    </w:p>
    <w:p w14:paraId="706BB34F" w14:textId="6ECADFEC" w:rsidR="00F71E7D" w:rsidRPr="0059201A" w:rsidRDefault="00F71E7D" w:rsidP="004D37C8">
      <w:pPr>
        <w:pStyle w:val="NoSpacing"/>
        <w:rPr>
          <w:sz w:val="24"/>
          <w:szCs w:val="24"/>
        </w:rPr>
      </w:pPr>
    </w:p>
    <w:p w14:paraId="77FD553F" w14:textId="17ADA263" w:rsidR="00F71E7D" w:rsidRPr="0059201A" w:rsidRDefault="002F3FCA" w:rsidP="004D37C8">
      <w:pPr>
        <w:pStyle w:val="NoSpacing"/>
        <w:rPr>
          <w:sz w:val="24"/>
          <w:szCs w:val="24"/>
        </w:rPr>
      </w:pPr>
      <w:r>
        <w:rPr>
          <w:sz w:val="24"/>
          <w:szCs w:val="24"/>
        </w:rPr>
        <w:object w:dxaOrig="7573" w:dyaOrig="2016" w14:anchorId="6B0EF082">
          <v:shape id="_x0000_i1033" type="#_x0000_t75" style="width:469.65pt;height:116.75pt" o:ole="">
            <v:imagedata r:id="rId29" o:title="" cropbottom="5840f" cropright="1472f"/>
          </v:shape>
          <o:OLEObject Type="Embed" ProgID="PBrush" ShapeID="_x0000_i1033" DrawAspect="Content" ObjectID="_1828351808" r:id="rId30"/>
        </w:object>
      </w:r>
    </w:p>
    <w:p w14:paraId="1832D195" w14:textId="482A5BC3" w:rsidR="00F71E7D" w:rsidRPr="0059201A" w:rsidRDefault="00F71E7D" w:rsidP="004D37C8">
      <w:pPr>
        <w:pStyle w:val="NoSpacing"/>
        <w:rPr>
          <w:sz w:val="24"/>
          <w:szCs w:val="24"/>
        </w:rPr>
      </w:pPr>
    </w:p>
    <w:p w14:paraId="2AAD6E2F" w14:textId="7294092F" w:rsidR="00F71E7D" w:rsidRPr="0059201A" w:rsidRDefault="00F71E7D" w:rsidP="004D37C8">
      <w:pPr>
        <w:pStyle w:val="NoSpacing"/>
        <w:rPr>
          <w:sz w:val="24"/>
          <w:szCs w:val="24"/>
        </w:rPr>
      </w:pPr>
      <w:r w:rsidRPr="0059201A">
        <w:rPr>
          <w:sz w:val="24"/>
          <w:szCs w:val="24"/>
        </w:rPr>
        <w:t>It too will diverge, something like:</w:t>
      </w:r>
    </w:p>
    <w:p w14:paraId="3431359B" w14:textId="5EE24A82" w:rsidR="00F71E7D" w:rsidRPr="0059201A" w:rsidRDefault="00F71E7D" w:rsidP="004D37C8">
      <w:pPr>
        <w:pStyle w:val="NoSpacing"/>
        <w:rPr>
          <w:sz w:val="24"/>
          <w:szCs w:val="24"/>
        </w:rPr>
      </w:pPr>
    </w:p>
    <w:p w14:paraId="2A5136D8" w14:textId="1ED03903" w:rsidR="00F71E7D" w:rsidRPr="0059201A" w:rsidRDefault="000465AA" w:rsidP="004D37C8">
      <w:pPr>
        <w:pStyle w:val="NoSpacing"/>
        <w:rPr>
          <w:sz w:val="24"/>
          <w:szCs w:val="24"/>
        </w:rPr>
      </w:pPr>
      <w:r w:rsidRPr="0059201A">
        <w:rPr>
          <w:position w:val="-62"/>
          <w:sz w:val="24"/>
          <w:szCs w:val="24"/>
        </w:rPr>
        <w:object w:dxaOrig="2580" w:dyaOrig="1359" w14:anchorId="722B9120">
          <v:shape id="_x0000_i1034" type="#_x0000_t75" style="width:129.25pt;height:68.75pt" o:ole="" filled="t" fillcolor="#cfc">
            <v:imagedata r:id="rId31" o:title=""/>
          </v:shape>
          <o:OLEObject Type="Embed" ProgID="Equation.DSMT4" ShapeID="_x0000_i1034" DrawAspect="Content" ObjectID="_1828351809" r:id="rId32"/>
        </w:object>
      </w:r>
    </w:p>
    <w:p w14:paraId="03A24C2E" w14:textId="04512594" w:rsidR="00F71E7D" w:rsidRPr="0059201A" w:rsidRDefault="00F71E7D" w:rsidP="004D37C8">
      <w:pPr>
        <w:pStyle w:val="NoSpacing"/>
        <w:rPr>
          <w:sz w:val="24"/>
          <w:szCs w:val="24"/>
        </w:rPr>
      </w:pPr>
    </w:p>
    <w:p w14:paraId="788C07DD" w14:textId="41B0D19A" w:rsidR="00DF20B4" w:rsidRDefault="00DF20B4" w:rsidP="00DF20B4">
      <w:pPr>
        <w:pStyle w:val="NoSpacing"/>
        <w:rPr>
          <w:sz w:val="24"/>
          <w:szCs w:val="24"/>
        </w:rPr>
      </w:pPr>
      <w:r>
        <w:rPr>
          <w:sz w:val="24"/>
          <w:szCs w:val="24"/>
        </w:rPr>
        <w:t>If we were to subject our substance to an inhomogeneous field, or perhaps pressure, then we can generalize the susceptibility to something like (illustrated for case of spins in a magnetic field)</w:t>
      </w:r>
      <w:r w:rsidR="009A755E">
        <w:rPr>
          <w:sz w:val="24"/>
          <w:szCs w:val="24"/>
        </w:rPr>
        <w:t xml:space="preserve"> the Green’s function thingy there.</w:t>
      </w:r>
    </w:p>
    <w:p w14:paraId="2F16A179" w14:textId="77777777" w:rsidR="00DF20B4" w:rsidRPr="0059201A" w:rsidRDefault="00DF20B4" w:rsidP="00DF20B4">
      <w:pPr>
        <w:pStyle w:val="NoSpacing"/>
        <w:rPr>
          <w:sz w:val="24"/>
          <w:szCs w:val="24"/>
        </w:rPr>
      </w:pPr>
    </w:p>
    <w:p w14:paraId="123D5FEC" w14:textId="23885E3E" w:rsidR="00DF20B4" w:rsidRPr="0059201A" w:rsidRDefault="00FB4012" w:rsidP="00DF20B4">
      <w:pPr>
        <w:pStyle w:val="NoSpacing"/>
        <w:rPr>
          <w:sz w:val="24"/>
          <w:szCs w:val="24"/>
        </w:rPr>
      </w:pPr>
      <w:r w:rsidRPr="009A755E">
        <w:rPr>
          <w:position w:val="-70"/>
          <w:sz w:val="24"/>
          <w:szCs w:val="24"/>
        </w:rPr>
        <w:object w:dxaOrig="7660" w:dyaOrig="1520" w14:anchorId="44EDF991">
          <v:shape id="_x0000_i1035" type="#_x0000_t75" style="width:382.9pt;height:75.8pt" o:ole="" o:bordertopcolor="teal" o:borderleftcolor="teal" o:borderbottomcolor="teal" o:borderrightcolor="teal">
            <v:imagedata r:id="rId33" o:title=""/>
            <w10:bordertop type="single" width="8"/>
            <w10:borderleft type="single" width="8"/>
            <w10:borderbottom type="single" width="8"/>
            <w10:borderright type="single" width="8"/>
          </v:shape>
          <o:OLEObject Type="Embed" ProgID="Equation.DSMT4" ShapeID="_x0000_i1035" DrawAspect="Content" ObjectID="_1828351810" r:id="rId34"/>
        </w:object>
      </w:r>
    </w:p>
    <w:p w14:paraId="5795A6B7" w14:textId="77777777" w:rsidR="00DF20B4" w:rsidRDefault="00DF20B4" w:rsidP="00DF20B4">
      <w:pPr>
        <w:pStyle w:val="NoSpacing"/>
        <w:rPr>
          <w:sz w:val="24"/>
          <w:szCs w:val="24"/>
        </w:rPr>
      </w:pPr>
    </w:p>
    <w:p w14:paraId="3B4B4E25" w14:textId="7EF29304" w:rsidR="000D569D" w:rsidRDefault="00DF20B4" w:rsidP="00DF20B4">
      <w:pPr>
        <w:pStyle w:val="NoSpacing"/>
        <w:rPr>
          <w:sz w:val="24"/>
          <w:szCs w:val="24"/>
        </w:rPr>
      </w:pPr>
      <w:r>
        <w:rPr>
          <w:sz w:val="24"/>
          <w:szCs w:val="24"/>
        </w:rPr>
        <w:t xml:space="preserve">The </w:t>
      </w:r>
      <w:r>
        <w:rPr>
          <w:rFonts w:ascii="Calibri" w:hAnsi="Calibri" w:cs="Calibri"/>
          <w:sz w:val="24"/>
          <w:szCs w:val="24"/>
        </w:rPr>
        <w:t>δ</w:t>
      </w:r>
      <w:r>
        <w:rPr>
          <w:sz w:val="24"/>
          <w:szCs w:val="24"/>
        </w:rPr>
        <w:t>/</w:t>
      </w:r>
      <w:r>
        <w:rPr>
          <w:rFonts w:ascii="Calibri" w:hAnsi="Calibri" w:cs="Calibri"/>
          <w:sz w:val="24"/>
          <w:szCs w:val="24"/>
        </w:rPr>
        <w:t>δ</w:t>
      </w:r>
      <w:r>
        <w:rPr>
          <w:sz w:val="24"/>
          <w:szCs w:val="24"/>
        </w:rPr>
        <w:t xml:space="preserve"> derivative stands for functional derivative, and this would be appropriate here because by the theory of Green’s functions, m(r) would be a functional of h(r).</w:t>
      </w:r>
      <w:r w:rsidR="009A755E">
        <w:rPr>
          <w:sz w:val="24"/>
          <w:szCs w:val="24"/>
        </w:rPr>
        <w:t xml:space="preserve">  </w:t>
      </w:r>
      <w:r w:rsidR="000D569D">
        <w:rPr>
          <w:sz w:val="24"/>
          <w:szCs w:val="24"/>
        </w:rPr>
        <w:t xml:space="preserve">It’s useful to see that we can also get the usual homogeneous susceptibility, </w:t>
      </w:r>
      <w:r w:rsidR="000D569D">
        <w:rPr>
          <w:rFonts w:ascii="Calibri" w:hAnsi="Calibri" w:cs="Calibri"/>
          <w:sz w:val="24"/>
          <w:szCs w:val="24"/>
        </w:rPr>
        <w:t>χ</w:t>
      </w:r>
      <w:r w:rsidR="000D569D">
        <w:rPr>
          <w:sz w:val="24"/>
          <w:szCs w:val="24"/>
        </w:rPr>
        <w:t>, from the GF.  The definition of the susceptibility implies:</w:t>
      </w:r>
    </w:p>
    <w:p w14:paraId="1F46C498" w14:textId="78F0BBF4" w:rsidR="000D569D" w:rsidRDefault="000D569D" w:rsidP="00DF20B4">
      <w:pPr>
        <w:pStyle w:val="NoSpacing"/>
        <w:rPr>
          <w:sz w:val="24"/>
          <w:szCs w:val="24"/>
        </w:rPr>
      </w:pPr>
    </w:p>
    <w:p w14:paraId="46677D72" w14:textId="0A253708" w:rsidR="000D569D" w:rsidRDefault="000D569D" w:rsidP="00DF20B4">
      <w:pPr>
        <w:pStyle w:val="NoSpacing"/>
        <w:rPr>
          <w:sz w:val="24"/>
          <w:szCs w:val="24"/>
        </w:rPr>
      </w:pPr>
      <w:r w:rsidRPr="000D569D">
        <w:rPr>
          <w:position w:val="-16"/>
        </w:rPr>
        <w:object w:dxaOrig="2460" w:dyaOrig="440" w14:anchorId="09216EB6">
          <v:shape id="_x0000_i1036" type="#_x0000_t75" style="width:123.25pt;height:21.8pt" o:ole="">
            <v:imagedata r:id="rId35" o:title=""/>
          </v:shape>
          <o:OLEObject Type="Embed" ProgID="Equation.DSMT4" ShapeID="_x0000_i1036" DrawAspect="Content" ObjectID="_1828351811" r:id="rId36"/>
        </w:object>
      </w:r>
    </w:p>
    <w:p w14:paraId="0585DECE" w14:textId="77777777" w:rsidR="000D569D" w:rsidRDefault="000D569D" w:rsidP="00DF20B4">
      <w:pPr>
        <w:pStyle w:val="NoSpacing"/>
        <w:rPr>
          <w:sz w:val="24"/>
          <w:szCs w:val="24"/>
        </w:rPr>
      </w:pPr>
    </w:p>
    <w:p w14:paraId="3E9746DD" w14:textId="682A9D75" w:rsidR="000D569D" w:rsidRDefault="000D569D" w:rsidP="00DF20B4">
      <w:pPr>
        <w:pStyle w:val="NoSpacing"/>
        <w:rPr>
          <w:sz w:val="24"/>
          <w:szCs w:val="24"/>
        </w:rPr>
      </w:pPr>
      <w:r>
        <w:rPr>
          <w:sz w:val="24"/>
          <w:szCs w:val="24"/>
        </w:rPr>
        <w:t>Now we’ll look at the total ‘magnetization’, and also presume the susceptibility is a function of only the difference of the two arguments so that we can introduce a Fourier transform.  And we’ll also presume h(</w:t>
      </w:r>
      <w:r w:rsidRPr="000D569D">
        <w:rPr>
          <w:b/>
          <w:sz w:val="24"/>
          <w:szCs w:val="24"/>
        </w:rPr>
        <w:t>r</w:t>
      </w:r>
      <w:r>
        <w:rPr>
          <w:sz w:val="24"/>
          <w:szCs w:val="24"/>
        </w:rPr>
        <w:t>) is uniform.</w:t>
      </w:r>
    </w:p>
    <w:p w14:paraId="2BAFE0A3" w14:textId="1549A735" w:rsidR="000D569D" w:rsidRDefault="000D569D" w:rsidP="00DF20B4">
      <w:pPr>
        <w:pStyle w:val="NoSpacing"/>
        <w:rPr>
          <w:sz w:val="24"/>
          <w:szCs w:val="24"/>
        </w:rPr>
      </w:pPr>
    </w:p>
    <w:p w14:paraId="45A05580" w14:textId="47CB81B0" w:rsidR="000D569D" w:rsidRDefault="00F53F78" w:rsidP="00DF20B4">
      <w:pPr>
        <w:pStyle w:val="NoSpacing"/>
      </w:pPr>
      <w:r w:rsidRPr="00F53F78">
        <w:rPr>
          <w:position w:val="-162"/>
        </w:rPr>
        <w:object w:dxaOrig="7140" w:dyaOrig="3360" w14:anchorId="217E3FF9">
          <v:shape id="_x0000_i1037" type="#_x0000_t75" style="width:357.8pt;height:168pt" o:ole="">
            <v:imagedata r:id="rId37" o:title=""/>
          </v:shape>
          <o:OLEObject Type="Embed" ProgID="Equation.DSMT4" ShapeID="_x0000_i1037" DrawAspect="Content" ObjectID="_1828351812" r:id="rId38"/>
        </w:object>
      </w:r>
    </w:p>
    <w:p w14:paraId="6B37E21A" w14:textId="6E9690C5" w:rsidR="000D569D" w:rsidRDefault="000D569D" w:rsidP="00DF20B4">
      <w:pPr>
        <w:pStyle w:val="NoSpacing"/>
      </w:pPr>
    </w:p>
    <w:p w14:paraId="6649E64D" w14:textId="34A84D0D" w:rsidR="000D569D" w:rsidRDefault="00F53F78" w:rsidP="00DF20B4">
      <w:pPr>
        <w:pStyle w:val="NoSpacing"/>
        <w:rPr>
          <w:sz w:val="24"/>
          <w:szCs w:val="24"/>
        </w:rPr>
      </w:pPr>
      <w:r>
        <w:rPr>
          <w:sz w:val="24"/>
          <w:szCs w:val="24"/>
        </w:rPr>
        <w:t>So we have:</w:t>
      </w:r>
    </w:p>
    <w:p w14:paraId="37A0AF02" w14:textId="2A66BDEA" w:rsidR="00F53F78" w:rsidRDefault="00F53F78" w:rsidP="00DF20B4">
      <w:pPr>
        <w:pStyle w:val="NoSpacing"/>
        <w:rPr>
          <w:sz w:val="24"/>
          <w:szCs w:val="24"/>
        </w:rPr>
      </w:pPr>
    </w:p>
    <w:p w14:paraId="429079D9" w14:textId="32ACA392" w:rsidR="00F53F78" w:rsidRPr="000D569D" w:rsidRDefault="00F53F78" w:rsidP="00DF20B4">
      <w:pPr>
        <w:pStyle w:val="NoSpacing"/>
        <w:rPr>
          <w:sz w:val="24"/>
          <w:szCs w:val="24"/>
        </w:rPr>
      </w:pPr>
      <w:r w:rsidRPr="00F53F78">
        <w:rPr>
          <w:position w:val="-10"/>
        </w:rPr>
        <w:object w:dxaOrig="1440" w:dyaOrig="320" w14:anchorId="1DA9805E">
          <v:shape id="_x0000_i1038" type="#_x0000_t75" style="width:1in;height:15.8pt" o:ole="" o:bordertopcolor="#0070c0" o:borderleftcolor="#0070c0" o:borderbottomcolor="#0070c0" o:borderrightcolor="#0070c0">
            <v:imagedata r:id="rId39" o:title=""/>
            <w10:bordertop type="single" width="8"/>
            <w10:borderleft type="single" width="8"/>
            <w10:borderbottom type="single" width="8"/>
            <w10:borderright type="single" width="8"/>
          </v:shape>
          <o:OLEObject Type="Embed" ProgID="Equation.DSMT4" ShapeID="_x0000_i1038" DrawAspect="Content" ObjectID="_1828351813" r:id="rId40"/>
        </w:object>
      </w:r>
    </w:p>
    <w:p w14:paraId="5B9864D4" w14:textId="240BD5A2" w:rsidR="000D569D" w:rsidRDefault="000D569D" w:rsidP="00DF20B4">
      <w:pPr>
        <w:pStyle w:val="NoSpacing"/>
        <w:rPr>
          <w:sz w:val="24"/>
          <w:szCs w:val="24"/>
        </w:rPr>
      </w:pPr>
    </w:p>
    <w:p w14:paraId="2329AD59" w14:textId="0572B53D" w:rsidR="00DF20B4" w:rsidRDefault="00F53F78" w:rsidP="00DF20B4">
      <w:pPr>
        <w:pStyle w:val="NoSpacing"/>
        <w:rPr>
          <w:sz w:val="24"/>
          <w:szCs w:val="24"/>
        </w:rPr>
      </w:pPr>
      <w:r>
        <w:rPr>
          <w:sz w:val="24"/>
          <w:szCs w:val="24"/>
        </w:rPr>
        <w:t xml:space="preserve">which says that the uniform susceptibility is just the k = 0 component of the Fourier transform of the inhomogeneous susceptibility </w:t>
      </w:r>
      <w:r>
        <w:rPr>
          <w:rFonts w:ascii="Calibri" w:hAnsi="Calibri" w:cs="Calibri"/>
          <w:sz w:val="24"/>
          <w:szCs w:val="24"/>
        </w:rPr>
        <w:t>χ</w:t>
      </w:r>
      <w:r>
        <w:rPr>
          <w:sz w:val="24"/>
          <w:szCs w:val="24"/>
        </w:rPr>
        <w:t>(r-r</w:t>
      </w:r>
      <w:r>
        <w:rPr>
          <w:rFonts w:ascii="Calibri" w:hAnsi="Calibri" w:cs="Calibri"/>
          <w:sz w:val="24"/>
          <w:szCs w:val="24"/>
        </w:rPr>
        <w:t>´</w:t>
      </w:r>
      <w:r>
        <w:rPr>
          <w:sz w:val="24"/>
          <w:szCs w:val="24"/>
        </w:rPr>
        <w:t xml:space="preserve">). </w:t>
      </w:r>
      <w:r w:rsidR="00353C74">
        <w:rPr>
          <w:sz w:val="24"/>
          <w:szCs w:val="24"/>
        </w:rPr>
        <w:t xml:space="preserve"> </w:t>
      </w:r>
      <w:r>
        <w:rPr>
          <w:sz w:val="24"/>
          <w:szCs w:val="24"/>
        </w:rPr>
        <w:t>Apropos the thermal relaxation time, we</w:t>
      </w:r>
      <w:r w:rsidR="009A755E">
        <w:rPr>
          <w:sz w:val="24"/>
          <w:szCs w:val="24"/>
        </w:rPr>
        <w:t xml:space="preserve"> don’t really have the apparatus for calculating such things until get to statistical mechanics one might think, but apparently </w:t>
      </w:r>
      <w:r>
        <w:rPr>
          <w:sz w:val="24"/>
          <w:szCs w:val="24"/>
        </w:rPr>
        <w:t xml:space="preserve">it </w:t>
      </w:r>
      <w:r w:rsidR="009A755E">
        <w:rPr>
          <w:sz w:val="24"/>
          <w:szCs w:val="24"/>
        </w:rPr>
        <w:t>is also governed by a critical exponent.  Interesting that it diverges near phase transition.</w:t>
      </w:r>
    </w:p>
    <w:p w14:paraId="63FE780A" w14:textId="1985E638" w:rsidR="00E30F56" w:rsidRPr="0059201A" w:rsidRDefault="00E30F56" w:rsidP="004D37C8">
      <w:pPr>
        <w:pStyle w:val="NoSpacing"/>
        <w:rPr>
          <w:sz w:val="24"/>
          <w:szCs w:val="24"/>
        </w:rPr>
      </w:pPr>
    </w:p>
    <w:p w14:paraId="40DDA54C" w14:textId="09651FCA" w:rsidR="00F71E7D" w:rsidRPr="0059201A" w:rsidRDefault="00F71E7D" w:rsidP="004D37C8">
      <w:pPr>
        <w:pStyle w:val="NoSpacing"/>
        <w:rPr>
          <w:b/>
          <w:sz w:val="28"/>
          <w:szCs w:val="28"/>
        </w:rPr>
      </w:pPr>
      <w:r w:rsidRPr="0059201A">
        <w:rPr>
          <w:b/>
          <w:sz w:val="28"/>
          <w:szCs w:val="28"/>
        </w:rPr>
        <w:t>Scaling Relations</w:t>
      </w:r>
    </w:p>
    <w:p w14:paraId="2A0B65D6" w14:textId="7D136531" w:rsidR="00B24842" w:rsidRDefault="00B24842" w:rsidP="00F71E7D">
      <w:pPr>
        <w:spacing w:after="0" w:line="240" w:lineRule="auto"/>
        <w:rPr>
          <w:rFonts w:eastAsiaTheme="minorEastAsia" w:hAnsi="Calibri"/>
          <w:color w:val="000000" w:themeColor="text1"/>
          <w:kern w:val="24"/>
          <w:sz w:val="24"/>
          <w:szCs w:val="24"/>
        </w:rPr>
      </w:pPr>
      <w:r>
        <w:rPr>
          <w:rFonts w:eastAsiaTheme="minorEastAsia" w:hAnsi="Calibri"/>
          <w:color w:val="000000" w:themeColor="text1"/>
          <w:kern w:val="24"/>
          <w:sz w:val="24"/>
          <w:szCs w:val="24"/>
        </w:rPr>
        <w:t>The critical exponents are not all independent.  There appears to be just two independent critical exponents.  This fact can be shown to follow from Widom’s scaling hypothesis</w:t>
      </w:r>
      <w:r w:rsidR="00A37A23">
        <w:rPr>
          <w:rFonts w:eastAsiaTheme="minorEastAsia" w:hAnsi="Calibri"/>
          <w:color w:val="000000" w:themeColor="text1"/>
          <w:kern w:val="24"/>
          <w:sz w:val="24"/>
          <w:szCs w:val="24"/>
        </w:rPr>
        <w:t xml:space="preserve"> (</w:t>
      </w:r>
      <w:r w:rsidR="00A37A23" w:rsidRPr="00A37A23">
        <w:rPr>
          <w:rFonts w:eastAsiaTheme="minorEastAsia" w:hAnsi="Calibri"/>
          <w:color w:val="3366FF"/>
          <w:kern w:val="24"/>
          <w:sz w:val="24"/>
          <w:szCs w:val="24"/>
        </w:rPr>
        <w:t xml:space="preserve">which itself can be shown to follow from an RG group analysis – </w:t>
      </w:r>
      <w:r w:rsidR="00124310">
        <w:rPr>
          <w:rFonts w:eastAsiaTheme="minorEastAsia" w:hAnsi="Calibri"/>
          <w:color w:val="3366FF"/>
          <w:kern w:val="24"/>
          <w:sz w:val="24"/>
          <w:szCs w:val="24"/>
        </w:rPr>
        <w:t xml:space="preserve">see </w:t>
      </w:r>
      <w:r w:rsidR="00A37A23" w:rsidRPr="00A37A23">
        <w:rPr>
          <w:rFonts w:eastAsiaTheme="minorEastAsia" w:hAnsi="Calibri"/>
          <w:color w:val="3366FF"/>
          <w:kern w:val="24"/>
          <w:sz w:val="24"/>
          <w:szCs w:val="24"/>
        </w:rPr>
        <w:t>Stat Mech folder/RG file</w:t>
      </w:r>
      <w:r w:rsidR="00A37A23">
        <w:rPr>
          <w:rFonts w:eastAsiaTheme="minorEastAsia" w:hAnsi="Calibri"/>
          <w:color w:val="000000" w:themeColor="text1"/>
          <w:kern w:val="24"/>
          <w:sz w:val="24"/>
          <w:szCs w:val="24"/>
        </w:rPr>
        <w:t>)</w:t>
      </w:r>
      <w:r>
        <w:rPr>
          <w:rFonts w:eastAsiaTheme="minorEastAsia" w:hAnsi="Calibri"/>
          <w:color w:val="000000" w:themeColor="text1"/>
          <w:kern w:val="24"/>
          <w:sz w:val="24"/>
          <w:szCs w:val="24"/>
        </w:rPr>
        <w:t xml:space="preserve">.  Namely that close to the critical point, the free energy </w:t>
      </w:r>
      <w:r w:rsidR="002B5AE3">
        <w:rPr>
          <w:rFonts w:eastAsiaTheme="minorEastAsia" w:hAnsi="Calibri"/>
          <w:color w:val="000000" w:themeColor="text1"/>
          <w:kern w:val="24"/>
          <w:sz w:val="24"/>
          <w:szCs w:val="24"/>
        </w:rPr>
        <w:t xml:space="preserve">f = F/V (well, actually, f = </w:t>
      </w:r>
      <w:r w:rsidR="002B5AE3">
        <w:rPr>
          <w:rFonts w:ascii="Calibri" w:eastAsiaTheme="minorEastAsia" w:hAnsi="Calibri" w:cs="Calibri"/>
          <w:color w:val="000000" w:themeColor="text1"/>
          <w:kern w:val="24"/>
          <w:sz w:val="24"/>
          <w:szCs w:val="24"/>
        </w:rPr>
        <w:t>βF/</w:t>
      </w:r>
      <w:r w:rsidR="002B5AE3">
        <w:rPr>
          <w:rFonts w:eastAsiaTheme="minorEastAsia" w:hAnsi="Calibri"/>
          <w:color w:val="000000" w:themeColor="text1"/>
          <w:kern w:val="24"/>
          <w:sz w:val="24"/>
          <w:szCs w:val="24"/>
        </w:rPr>
        <w:t>V</w:t>
      </w:r>
      <w:r>
        <w:rPr>
          <w:rFonts w:eastAsiaTheme="minorEastAsia" w:hAnsi="Calibri"/>
          <w:color w:val="000000" w:themeColor="text1"/>
          <w:kern w:val="24"/>
          <w:sz w:val="24"/>
          <w:szCs w:val="24"/>
        </w:rPr>
        <w:t>) conforms to the following general form,</w:t>
      </w:r>
    </w:p>
    <w:p w14:paraId="086AEB71" w14:textId="77777777" w:rsidR="00B24842" w:rsidRDefault="00B24842" w:rsidP="00F71E7D">
      <w:pPr>
        <w:spacing w:after="0" w:line="240" w:lineRule="auto"/>
        <w:rPr>
          <w:rFonts w:eastAsiaTheme="minorEastAsia" w:hAnsi="Calibri"/>
          <w:color w:val="000000" w:themeColor="text1"/>
          <w:kern w:val="24"/>
          <w:sz w:val="24"/>
          <w:szCs w:val="24"/>
        </w:rPr>
      </w:pPr>
    </w:p>
    <w:p w14:paraId="79A5463B" w14:textId="46A0A73F" w:rsidR="00B24842" w:rsidRPr="0059201A" w:rsidRDefault="00115147" w:rsidP="00B24842">
      <w:pPr>
        <w:pStyle w:val="NoSpacing"/>
        <w:rPr>
          <w:sz w:val="24"/>
          <w:szCs w:val="24"/>
        </w:rPr>
      </w:pPr>
      <w:r w:rsidRPr="0059201A">
        <w:rPr>
          <w:position w:val="-10"/>
          <w:sz w:val="24"/>
          <w:szCs w:val="24"/>
        </w:rPr>
        <w:object w:dxaOrig="2299" w:dyaOrig="360" w14:anchorId="4A81F2C8">
          <v:shape id="_x0000_i1039" type="#_x0000_t75" style="width:115.1pt;height:18pt" o:ole="" filled="t" fillcolor="#cfc">
            <v:imagedata r:id="rId41" o:title=""/>
          </v:shape>
          <o:OLEObject Type="Embed" ProgID="Equation.DSMT4" ShapeID="_x0000_i1039" DrawAspect="Content" ObjectID="_1828351814" r:id="rId42"/>
        </w:object>
      </w:r>
    </w:p>
    <w:p w14:paraId="54843EAB" w14:textId="77777777" w:rsidR="00B24842" w:rsidRPr="0059201A" w:rsidRDefault="00B24842" w:rsidP="00B24842">
      <w:pPr>
        <w:pStyle w:val="NoSpacing"/>
        <w:rPr>
          <w:sz w:val="24"/>
          <w:szCs w:val="24"/>
        </w:rPr>
      </w:pPr>
    </w:p>
    <w:p w14:paraId="689DF6CE" w14:textId="29A4268C" w:rsidR="00C60785" w:rsidRDefault="00B24842" w:rsidP="007F6AB5">
      <w:pPr>
        <w:pStyle w:val="NoSpacing"/>
        <w:rPr>
          <w:sz w:val="24"/>
          <w:szCs w:val="24"/>
        </w:rPr>
      </w:pPr>
      <w:r>
        <w:rPr>
          <w:sz w:val="24"/>
          <w:szCs w:val="24"/>
        </w:rPr>
        <w:t xml:space="preserve">where </w:t>
      </w:r>
      <m:oMath>
        <m:r>
          <w:rPr>
            <w:rFonts w:ascii="Cambria Math" w:hAnsi="Cambria Math" w:cs="Calibri"/>
            <w:sz w:val="24"/>
            <w:szCs w:val="24"/>
          </w:rPr>
          <m:t>ψ</m:t>
        </m:r>
      </m:oMath>
      <w:r>
        <w:rPr>
          <w:sz w:val="24"/>
          <w:szCs w:val="24"/>
        </w:rPr>
        <w:t xml:space="preserve"> is some well-behaved function.  </w:t>
      </w:r>
      <w:r w:rsidR="00307309">
        <w:rPr>
          <w:sz w:val="24"/>
          <w:szCs w:val="24"/>
        </w:rPr>
        <w:t xml:space="preserve">And t = </w:t>
      </w:r>
      <w:r w:rsidR="00307309">
        <w:rPr>
          <w:rFonts w:ascii="Calibri" w:hAnsi="Calibri" w:cs="Calibri"/>
          <w:sz w:val="24"/>
          <w:szCs w:val="24"/>
        </w:rPr>
        <w:t>β</w:t>
      </w:r>
      <w:r w:rsidR="00307309">
        <w:rPr>
          <w:sz w:val="24"/>
          <w:szCs w:val="24"/>
        </w:rPr>
        <w:t>(T – T</w:t>
      </w:r>
      <w:r w:rsidR="00307309">
        <w:rPr>
          <w:sz w:val="24"/>
          <w:szCs w:val="24"/>
          <w:vertAlign w:val="subscript"/>
        </w:rPr>
        <w:t>c</w:t>
      </w:r>
      <w:r w:rsidR="00307309">
        <w:rPr>
          <w:sz w:val="24"/>
          <w:szCs w:val="24"/>
        </w:rPr>
        <w:t xml:space="preserve">), j = </w:t>
      </w:r>
      <w:r w:rsidR="00307309">
        <w:rPr>
          <w:rFonts w:ascii="Calibri" w:hAnsi="Calibri" w:cs="Calibri"/>
          <w:sz w:val="24"/>
          <w:szCs w:val="24"/>
        </w:rPr>
        <w:t>β</w:t>
      </w:r>
      <w:r w:rsidR="00307309">
        <w:rPr>
          <w:sz w:val="24"/>
          <w:szCs w:val="24"/>
        </w:rPr>
        <w:t>(h-h</w:t>
      </w:r>
      <w:r w:rsidR="00307309">
        <w:rPr>
          <w:sz w:val="24"/>
          <w:szCs w:val="24"/>
          <w:vertAlign w:val="subscript"/>
        </w:rPr>
        <w:t>c</w:t>
      </w:r>
      <w:r w:rsidR="00307309">
        <w:rPr>
          <w:sz w:val="24"/>
          <w:szCs w:val="24"/>
        </w:rPr>
        <w:t xml:space="preserve">) or </w:t>
      </w:r>
      <w:r w:rsidR="00307309">
        <w:rPr>
          <w:rFonts w:ascii="Calibri" w:hAnsi="Calibri" w:cs="Calibri"/>
          <w:sz w:val="24"/>
          <w:szCs w:val="24"/>
        </w:rPr>
        <w:t>β</w:t>
      </w:r>
      <w:r w:rsidR="00307309">
        <w:rPr>
          <w:sz w:val="24"/>
          <w:szCs w:val="24"/>
        </w:rPr>
        <w:t>(p-p</w:t>
      </w:r>
      <w:r w:rsidR="00307309">
        <w:rPr>
          <w:sz w:val="24"/>
          <w:szCs w:val="24"/>
          <w:vertAlign w:val="subscript"/>
        </w:rPr>
        <w:t>c</w:t>
      </w:r>
      <w:r w:rsidR="00307309">
        <w:rPr>
          <w:sz w:val="24"/>
          <w:szCs w:val="24"/>
        </w:rPr>
        <w:t xml:space="preserve">), etc.  Note in the T </w:t>
      </w:r>
      <w:r w:rsidR="00307309">
        <w:rPr>
          <w:rFonts w:ascii="Calibri" w:hAnsi="Calibri" w:cs="Calibri"/>
          <w:sz w:val="24"/>
          <w:szCs w:val="24"/>
        </w:rPr>
        <w:t>→</w:t>
      </w:r>
      <w:r w:rsidR="00307309">
        <w:rPr>
          <w:sz w:val="24"/>
          <w:szCs w:val="24"/>
        </w:rPr>
        <w:t xml:space="preserve"> T</w:t>
      </w:r>
      <w:r w:rsidR="00307309">
        <w:rPr>
          <w:sz w:val="24"/>
          <w:szCs w:val="24"/>
          <w:vertAlign w:val="subscript"/>
        </w:rPr>
        <w:t>c</w:t>
      </w:r>
      <w:r w:rsidR="00307309">
        <w:rPr>
          <w:sz w:val="24"/>
          <w:szCs w:val="24"/>
        </w:rPr>
        <w:t xml:space="preserve"> limit, we can say </w:t>
      </w:r>
      <w:r w:rsidR="00307309">
        <w:rPr>
          <w:rFonts w:ascii="Calibri" w:hAnsi="Calibri" w:cs="Calibri"/>
          <w:sz w:val="24"/>
          <w:szCs w:val="24"/>
        </w:rPr>
        <w:t>β</w:t>
      </w:r>
      <w:r w:rsidR="00307309">
        <w:rPr>
          <w:sz w:val="24"/>
          <w:szCs w:val="24"/>
        </w:rPr>
        <w:t xml:space="preserve"> </w:t>
      </w:r>
      <w:r w:rsidR="00307309">
        <w:rPr>
          <w:rFonts w:ascii="Calibri" w:hAnsi="Calibri" w:cs="Calibri"/>
          <w:sz w:val="24"/>
          <w:szCs w:val="24"/>
        </w:rPr>
        <w:t>→</w:t>
      </w:r>
      <w:r w:rsidR="00307309">
        <w:rPr>
          <w:sz w:val="24"/>
          <w:szCs w:val="24"/>
        </w:rPr>
        <w:t xml:space="preserve"> </w:t>
      </w:r>
      <w:r w:rsidR="00307309">
        <w:rPr>
          <w:rFonts w:ascii="Calibri" w:hAnsi="Calibri" w:cs="Calibri"/>
          <w:sz w:val="24"/>
          <w:szCs w:val="24"/>
        </w:rPr>
        <w:t>β</w:t>
      </w:r>
      <w:r w:rsidR="00307309">
        <w:rPr>
          <w:sz w:val="24"/>
          <w:szCs w:val="24"/>
          <w:vertAlign w:val="subscript"/>
        </w:rPr>
        <w:t>c</w:t>
      </w:r>
      <w:r w:rsidR="00307309">
        <w:rPr>
          <w:sz w:val="24"/>
          <w:szCs w:val="24"/>
        </w:rPr>
        <w:t xml:space="preserve"> = 1/k</w:t>
      </w:r>
      <w:r w:rsidR="00307309">
        <w:rPr>
          <w:sz w:val="24"/>
          <w:szCs w:val="24"/>
          <w:vertAlign w:val="subscript"/>
        </w:rPr>
        <w:t>B</w:t>
      </w:r>
      <w:r w:rsidR="00307309">
        <w:rPr>
          <w:sz w:val="24"/>
          <w:szCs w:val="24"/>
        </w:rPr>
        <w:t>T</w:t>
      </w:r>
      <w:r w:rsidR="00307309">
        <w:rPr>
          <w:sz w:val="24"/>
          <w:szCs w:val="24"/>
          <w:vertAlign w:val="subscript"/>
        </w:rPr>
        <w:t>c</w:t>
      </w:r>
      <w:r w:rsidR="00E41805">
        <w:rPr>
          <w:sz w:val="24"/>
          <w:szCs w:val="24"/>
        </w:rPr>
        <w:t xml:space="preserve">, and so we will presume to set </w:t>
      </w:r>
      <w:r w:rsidR="00E41805">
        <w:rPr>
          <w:rFonts w:ascii="Calibri" w:hAnsi="Calibri" w:cs="Calibri"/>
          <w:sz w:val="24"/>
          <w:szCs w:val="24"/>
        </w:rPr>
        <w:t>β</w:t>
      </w:r>
      <w:r w:rsidR="00E41805">
        <w:rPr>
          <w:sz w:val="24"/>
          <w:szCs w:val="24"/>
        </w:rPr>
        <w:t xml:space="preserve"> = </w:t>
      </w:r>
      <w:r w:rsidR="00E41805">
        <w:rPr>
          <w:rFonts w:ascii="Calibri" w:hAnsi="Calibri" w:cs="Calibri"/>
          <w:sz w:val="24"/>
          <w:szCs w:val="24"/>
        </w:rPr>
        <w:t>β</w:t>
      </w:r>
      <w:r w:rsidR="00E41805">
        <w:rPr>
          <w:sz w:val="24"/>
          <w:szCs w:val="24"/>
          <w:vertAlign w:val="subscript"/>
        </w:rPr>
        <w:t>c</w:t>
      </w:r>
      <w:r w:rsidR="00E41805">
        <w:rPr>
          <w:sz w:val="24"/>
          <w:szCs w:val="24"/>
        </w:rPr>
        <w:t xml:space="preserve"> already</w:t>
      </w:r>
      <w:r w:rsidR="00307309">
        <w:rPr>
          <w:sz w:val="24"/>
          <w:szCs w:val="24"/>
        </w:rPr>
        <w:t xml:space="preserve">.  </w:t>
      </w:r>
      <w:r w:rsidR="00936DBB">
        <w:rPr>
          <w:sz w:val="24"/>
          <w:szCs w:val="24"/>
        </w:rPr>
        <w:t>Recalling (using units where k</w:t>
      </w:r>
      <w:r w:rsidR="00936DBB">
        <w:rPr>
          <w:sz w:val="24"/>
          <w:szCs w:val="24"/>
          <w:vertAlign w:val="subscript"/>
        </w:rPr>
        <w:t>B</w:t>
      </w:r>
      <w:r w:rsidR="00936DBB">
        <w:rPr>
          <w:sz w:val="24"/>
          <w:szCs w:val="24"/>
        </w:rPr>
        <w:t xml:space="preserve"> = 1 now),</w:t>
      </w:r>
    </w:p>
    <w:p w14:paraId="4486B650" w14:textId="77777777" w:rsidR="00C60785" w:rsidRDefault="00C60785" w:rsidP="007F6AB5">
      <w:pPr>
        <w:pStyle w:val="NoSpacing"/>
        <w:rPr>
          <w:sz w:val="24"/>
          <w:szCs w:val="24"/>
        </w:rPr>
      </w:pPr>
    </w:p>
    <w:p w14:paraId="2E24DEB7" w14:textId="21DE9784" w:rsidR="00C60785" w:rsidRDefault="00936DBB" w:rsidP="007F6AB5">
      <w:pPr>
        <w:pStyle w:val="NoSpacing"/>
        <w:rPr>
          <w:sz w:val="24"/>
          <w:szCs w:val="24"/>
        </w:rPr>
      </w:pPr>
      <w:r w:rsidRPr="00936DBB">
        <w:rPr>
          <w:position w:val="-30"/>
          <w:sz w:val="24"/>
          <w:szCs w:val="24"/>
        </w:rPr>
        <w:object w:dxaOrig="5580" w:dyaOrig="720" w14:anchorId="31E89E92">
          <v:shape id="_x0000_i1040" type="#_x0000_t75" style="width:279.25pt;height:36pt" o:ole="">
            <v:imagedata r:id="rId43" o:title=""/>
          </v:shape>
          <o:OLEObject Type="Embed" ProgID="Equation.DSMT4" ShapeID="_x0000_i1040" DrawAspect="Content" ObjectID="_1828351815" r:id="rId44"/>
        </w:object>
      </w:r>
    </w:p>
    <w:p w14:paraId="03848AAE" w14:textId="77777777" w:rsidR="00C60785" w:rsidRDefault="00C60785" w:rsidP="007F6AB5">
      <w:pPr>
        <w:pStyle w:val="NoSpacing"/>
        <w:rPr>
          <w:sz w:val="24"/>
          <w:szCs w:val="24"/>
        </w:rPr>
      </w:pPr>
    </w:p>
    <w:p w14:paraId="105BDF7B" w14:textId="245F374C" w:rsidR="00C60785" w:rsidRDefault="00936DBB" w:rsidP="007F6AB5">
      <w:pPr>
        <w:pStyle w:val="NoSpacing"/>
        <w:rPr>
          <w:sz w:val="24"/>
          <w:szCs w:val="24"/>
        </w:rPr>
      </w:pPr>
      <w:r w:rsidRPr="0059201A">
        <w:rPr>
          <w:sz w:val="24"/>
          <w:szCs w:val="24"/>
        </w:rPr>
        <w:t xml:space="preserve">the specific heat </w:t>
      </w:r>
      <w:r>
        <w:rPr>
          <w:sz w:val="24"/>
          <w:szCs w:val="24"/>
        </w:rPr>
        <w:t xml:space="preserve">at critical field, or pressure, </w:t>
      </w:r>
      <w:r w:rsidRPr="0059201A">
        <w:rPr>
          <w:sz w:val="24"/>
          <w:szCs w:val="24"/>
        </w:rPr>
        <w:t>is</w:t>
      </w:r>
      <w:r>
        <w:rPr>
          <w:sz w:val="24"/>
          <w:szCs w:val="24"/>
        </w:rPr>
        <w:t xml:space="preserve">, </w:t>
      </w:r>
    </w:p>
    <w:p w14:paraId="2B4EFED6" w14:textId="77777777" w:rsidR="00936DBB" w:rsidRDefault="00936DBB" w:rsidP="007F6AB5">
      <w:pPr>
        <w:pStyle w:val="NoSpacing"/>
        <w:rPr>
          <w:sz w:val="24"/>
          <w:szCs w:val="24"/>
        </w:rPr>
      </w:pPr>
    </w:p>
    <w:p w14:paraId="02431AEC" w14:textId="1BAB7A26" w:rsidR="007F6AB5" w:rsidRDefault="00936DBB" w:rsidP="007F6AB5">
      <w:pPr>
        <w:pStyle w:val="NoSpacing"/>
      </w:pPr>
      <w:r w:rsidRPr="000C0F61">
        <w:rPr>
          <w:position w:val="-188"/>
        </w:rPr>
        <w:object w:dxaOrig="7180" w:dyaOrig="3120" w14:anchorId="685CECDC">
          <v:shape id="_x0000_i1041" type="#_x0000_t75" style="width:358.9pt;height:156pt" o:ole="">
            <v:imagedata r:id="rId45" o:title=""/>
          </v:shape>
          <o:OLEObject Type="Embed" ProgID="Equation.DSMT4" ShapeID="_x0000_i1041" DrawAspect="Content" ObjectID="_1828351816" r:id="rId46"/>
        </w:object>
      </w:r>
    </w:p>
    <w:p w14:paraId="636C70ED" w14:textId="77777777" w:rsidR="007F6AB5" w:rsidRDefault="007F6AB5" w:rsidP="007F6AB5">
      <w:pPr>
        <w:pStyle w:val="NoSpacing"/>
      </w:pPr>
    </w:p>
    <w:p w14:paraId="52351FD9" w14:textId="77777777" w:rsidR="007F6AB5" w:rsidRPr="000C0F61" w:rsidRDefault="007F6AB5" w:rsidP="007F6AB5">
      <w:pPr>
        <w:pStyle w:val="NoSpacing"/>
        <w:rPr>
          <w:sz w:val="28"/>
          <w:szCs w:val="28"/>
        </w:rPr>
      </w:pPr>
      <w:r w:rsidRPr="000C0F61">
        <w:rPr>
          <w:sz w:val="24"/>
          <w:szCs w:val="24"/>
        </w:rPr>
        <w:t>So,</w:t>
      </w:r>
    </w:p>
    <w:p w14:paraId="5B1399F4" w14:textId="77777777" w:rsidR="007F6AB5" w:rsidRDefault="007F6AB5" w:rsidP="007F6AB5">
      <w:pPr>
        <w:pStyle w:val="NoSpacing"/>
        <w:rPr>
          <w:sz w:val="24"/>
          <w:szCs w:val="24"/>
        </w:rPr>
      </w:pPr>
    </w:p>
    <w:p w14:paraId="1A06027B" w14:textId="77777777" w:rsidR="007F6AB5" w:rsidRPr="0059201A" w:rsidRDefault="007F6AB5" w:rsidP="007F6AB5">
      <w:pPr>
        <w:pStyle w:val="NoSpacing"/>
        <w:rPr>
          <w:sz w:val="24"/>
          <w:szCs w:val="24"/>
        </w:rPr>
      </w:pPr>
      <w:r w:rsidRPr="000C0F61">
        <w:rPr>
          <w:position w:val="-10"/>
        </w:rPr>
        <w:object w:dxaOrig="1500" w:dyaOrig="360" w14:anchorId="4FF7A656">
          <v:shape id="_x0000_i1042" type="#_x0000_t75" style="width:75.25pt;height:18pt" o:ole="" filled="t" fillcolor="#cfc">
            <v:imagedata r:id="rId47" o:title=""/>
          </v:shape>
          <o:OLEObject Type="Embed" ProgID="Equation.DSMT4" ShapeID="_x0000_i1042" DrawAspect="Content" ObjectID="_1828351817" r:id="rId48"/>
        </w:object>
      </w:r>
    </w:p>
    <w:p w14:paraId="7B0ACCBA" w14:textId="77777777" w:rsidR="007F6AB5" w:rsidRDefault="007F6AB5" w:rsidP="00B24842">
      <w:pPr>
        <w:pStyle w:val="NoSpacing"/>
        <w:rPr>
          <w:sz w:val="24"/>
          <w:szCs w:val="24"/>
        </w:rPr>
      </w:pPr>
    </w:p>
    <w:p w14:paraId="6B66F204" w14:textId="5A84CEA2" w:rsidR="007F6AB5" w:rsidRDefault="00A727F6" w:rsidP="00B24842">
      <w:pPr>
        <w:pStyle w:val="NoSpacing"/>
        <w:rPr>
          <w:sz w:val="24"/>
          <w:szCs w:val="24"/>
        </w:rPr>
      </w:pPr>
      <w:r>
        <w:rPr>
          <w:sz w:val="24"/>
          <w:szCs w:val="24"/>
        </w:rPr>
        <w:t xml:space="preserve">as we expect.  </w:t>
      </w:r>
      <w:r w:rsidR="00B24842">
        <w:rPr>
          <w:sz w:val="24"/>
          <w:szCs w:val="24"/>
        </w:rPr>
        <w:t xml:space="preserve">Now let’s look at the </w:t>
      </w:r>
      <w:r w:rsidR="007F6AB5">
        <w:rPr>
          <w:sz w:val="24"/>
          <w:szCs w:val="24"/>
        </w:rPr>
        <w:t>magnetization (or could do pressure in case of gas).  It’s given by:</w:t>
      </w:r>
    </w:p>
    <w:p w14:paraId="6D26D8C3" w14:textId="240A8C02" w:rsidR="00B24842" w:rsidRDefault="00B24842" w:rsidP="00B24842">
      <w:pPr>
        <w:pStyle w:val="NoSpacing"/>
        <w:rPr>
          <w:sz w:val="24"/>
          <w:szCs w:val="24"/>
        </w:rPr>
      </w:pPr>
    </w:p>
    <w:p w14:paraId="43A9F394" w14:textId="552888F7" w:rsidR="007F6AB5" w:rsidRDefault="002B5AE3" w:rsidP="00B24842">
      <w:pPr>
        <w:pStyle w:val="NoSpacing"/>
        <w:rPr>
          <w:sz w:val="24"/>
          <w:szCs w:val="24"/>
        </w:rPr>
      </w:pPr>
      <w:r w:rsidRPr="002B5AE3">
        <w:rPr>
          <w:position w:val="-118"/>
          <w:sz w:val="24"/>
          <w:szCs w:val="24"/>
        </w:rPr>
        <w:object w:dxaOrig="8199" w:dyaOrig="2480" w14:anchorId="5B4C8BF4">
          <v:shape id="_x0000_i1043" type="#_x0000_t75" style="width:409.65pt;height:123.25pt" o:ole="" fillcolor="#cfc">
            <v:imagedata r:id="rId49" o:title=""/>
          </v:shape>
          <o:OLEObject Type="Embed" ProgID="Equation.DSMT4" ShapeID="_x0000_i1043" DrawAspect="Content" ObjectID="_1828351818" r:id="rId50"/>
        </w:object>
      </w:r>
    </w:p>
    <w:p w14:paraId="1261E398" w14:textId="5064E7E1" w:rsidR="007F6AB5" w:rsidRDefault="007F6AB5" w:rsidP="00B24842">
      <w:pPr>
        <w:pStyle w:val="NoSpacing"/>
        <w:rPr>
          <w:sz w:val="24"/>
          <w:szCs w:val="24"/>
        </w:rPr>
      </w:pPr>
    </w:p>
    <w:p w14:paraId="4A207C47" w14:textId="6CAF51FB" w:rsidR="007F6AB5" w:rsidRDefault="007F6AB5" w:rsidP="00B24842">
      <w:pPr>
        <w:pStyle w:val="NoSpacing"/>
        <w:rPr>
          <w:sz w:val="24"/>
          <w:szCs w:val="24"/>
        </w:rPr>
      </w:pPr>
      <w:r>
        <w:rPr>
          <w:sz w:val="24"/>
          <w:szCs w:val="24"/>
        </w:rPr>
        <w:t>And so the magnetization at the critical field,</w:t>
      </w:r>
    </w:p>
    <w:p w14:paraId="1FE4E1BF" w14:textId="77777777" w:rsidR="007F6AB5" w:rsidRPr="0059201A" w:rsidRDefault="007F6AB5" w:rsidP="00B24842">
      <w:pPr>
        <w:pStyle w:val="NoSpacing"/>
        <w:rPr>
          <w:sz w:val="24"/>
          <w:szCs w:val="24"/>
        </w:rPr>
      </w:pPr>
    </w:p>
    <w:p w14:paraId="0656A0DD" w14:textId="2D47939A" w:rsidR="00B24842" w:rsidRDefault="002B5AE3" w:rsidP="00B24842">
      <w:pPr>
        <w:pStyle w:val="NoSpacing"/>
        <w:rPr>
          <w:sz w:val="24"/>
          <w:szCs w:val="24"/>
        </w:rPr>
      </w:pPr>
      <w:r w:rsidRPr="002B5AE3">
        <w:rPr>
          <w:position w:val="-100"/>
          <w:sz w:val="24"/>
          <w:szCs w:val="24"/>
        </w:rPr>
        <w:object w:dxaOrig="3780" w:dyaOrig="2200" w14:anchorId="764BBB98">
          <v:shape id="_x0000_i1044" type="#_x0000_t75" style="width:189.25pt;height:110.2pt" o:ole="" fillcolor="#cfc">
            <v:imagedata r:id="rId51" o:title=""/>
          </v:shape>
          <o:OLEObject Type="Embed" ProgID="Equation.DSMT4" ShapeID="_x0000_i1044" DrawAspect="Content" ObjectID="_1828351819" r:id="rId52"/>
        </w:object>
      </w:r>
    </w:p>
    <w:p w14:paraId="4465E0AD" w14:textId="77777777" w:rsidR="00B24842" w:rsidRDefault="00B24842" w:rsidP="00B24842">
      <w:pPr>
        <w:pStyle w:val="NoSpacing"/>
        <w:rPr>
          <w:sz w:val="24"/>
          <w:szCs w:val="24"/>
        </w:rPr>
      </w:pPr>
    </w:p>
    <w:p w14:paraId="13693500" w14:textId="60051C18" w:rsidR="00B24842" w:rsidRDefault="00B24842" w:rsidP="00B24842">
      <w:pPr>
        <w:pStyle w:val="NoSpacing"/>
        <w:rPr>
          <w:sz w:val="24"/>
          <w:szCs w:val="24"/>
        </w:rPr>
      </w:pPr>
      <w:r>
        <w:rPr>
          <w:sz w:val="24"/>
          <w:szCs w:val="24"/>
        </w:rPr>
        <w:t>So,</w:t>
      </w:r>
      <w:r w:rsidR="00A06819">
        <w:rPr>
          <w:sz w:val="24"/>
          <w:szCs w:val="24"/>
        </w:rPr>
        <w:t xml:space="preserve"> </w:t>
      </w:r>
    </w:p>
    <w:p w14:paraId="462306E8" w14:textId="77777777" w:rsidR="00B24842" w:rsidRDefault="00B24842" w:rsidP="00B24842">
      <w:pPr>
        <w:pStyle w:val="NoSpacing"/>
        <w:rPr>
          <w:sz w:val="24"/>
          <w:szCs w:val="24"/>
        </w:rPr>
      </w:pPr>
    </w:p>
    <w:p w14:paraId="48CCDE2E" w14:textId="2F348BF1" w:rsidR="00B24842" w:rsidRDefault="00B24842" w:rsidP="00B24842">
      <w:pPr>
        <w:pStyle w:val="NoSpacing"/>
        <w:rPr>
          <w:sz w:val="24"/>
          <w:szCs w:val="24"/>
        </w:rPr>
      </w:pPr>
      <w:r w:rsidRPr="0048503B">
        <w:rPr>
          <w:position w:val="-10"/>
          <w:sz w:val="24"/>
          <w:szCs w:val="24"/>
        </w:rPr>
        <w:object w:dxaOrig="1820" w:dyaOrig="360" w14:anchorId="5268A75C">
          <v:shape id="_x0000_i1045" type="#_x0000_t75" style="width:90.55pt;height:18pt" o:ole="" filled="t" fillcolor="#cfc">
            <v:imagedata r:id="rId53" o:title=""/>
          </v:shape>
          <o:OLEObject Type="Embed" ProgID="Equation.DSMT4" ShapeID="_x0000_i1045" DrawAspect="Content" ObjectID="_1828351820" r:id="rId54"/>
        </w:object>
      </w:r>
    </w:p>
    <w:p w14:paraId="4EFA66B2" w14:textId="77777777" w:rsidR="00B24842" w:rsidRPr="0059201A" w:rsidRDefault="00B24842" w:rsidP="00B24842">
      <w:pPr>
        <w:pStyle w:val="NoSpacing"/>
        <w:rPr>
          <w:sz w:val="24"/>
          <w:szCs w:val="24"/>
        </w:rPr>
      </w:pPr>
    </w:p>
    <w:p w14:paraId="66DA2596" w14:textId="77777777" w:rsidR="007F6AB5" w:rsidRDefault="007F6AB5" w:rsidP="007F6AB5">
      <w:pPr>
        <w:pStyle w:val="NoSpacing"/>
        <w:rPr>
          <w:sz w:val="24"/>
          <w:szCs w:val="24"/>
        </w:rPr>
      </w:pPr>
      <w:r>
        <w:rPr>
          <w:sz w:val="24"/>
          <w:szCs w:val="24"/>
        </w:rPr>
        <w:t>And the whatever that other one is called,</w:t>
      </w:r>
    </w:p>
    <w:p w14:paraId="59E0DF7B" w14:textId="77777777" w:rsidR="007F6AB5" w:rsidRDefault="007F6AB5" w:rsidP="007F6AB5">
      <w:pPr>
        <w:pStyle w:val="NoSpacing"/>
        <w:rPr>
          <w:sz w:val="24"/>
          <w:szCs w:val="24"/>
        </w:rPr>
      </w:pPr>
    </w:p>
    <w:p w14:paraId="22EA526B" w14:textId="384B0ED1" w:rsidR="007F6AB5" w:rsidRDefault="002B5AE3" w:rsidP="007F6AB5">
      <w:pPr>
        <w:pStyle w:val="NoSpacing"/>
        <w:rPr>
          <w:sz w:val="24"/>
          <w:szCs w:val="24"/>
        </w:rPr>
      </w:pPr>
      <w:r w:rsidRPr="002B5AE3">
        <w:rPr>
          <w:position w:val="-70"/>
          <w:sz w:val="24"/>
          <w:szCs w:val="24"/>
        </w:rPr>
        <w:object w:dxaOrig="3700" w:dyaOrig="1800" w14:anchorId="34E776CD">
          <v:shape id="_x0000_i1046" type="#_x0000_t75" style="width:186pt;height:90pt" o:ole="" fillcolor="#cfc">
            <v:imagedata r:id="rId55" o:title=""/>
          </v:shape>
          <o:OLEObject Type="Embed" ProgID="Equation.DSMT4" ShapeID="_x0000_i1046" DrawAspect="Content" ObjectID="_1828351821" r:id="rId56"/>
        </w:object>
      </w:r>
    </w:p>
    <w:p w14:paraId="12689975" w14:textId="77777777" w:rsidR="007F6AB5" w:rsidRDefault="007F6AB5" w:rsidP="007F6AB5">
      <w:pPr>
        <w:pStyle w:val="NoSpacing"/>
        <w:rPr>
          <w:sz w:val="24"/>
          <w:szCs w:val="24"/>
        </w:rPr>
      </w:pPr>
    </w:p>
    <w:p w14:paraId="51D3D506" w14:textId="047F4842" w:rsidR="007F6AB5" w:rsidRDefault="007F6AB5" w:rsidP="007F6AB5">
      <w:pPr>
        <w:pStyle w:val="NoSpacing"/>
        <w:rPr>
          <w:rFonts w:ascii="Calibri" w:hAnsi="Calibri" w:cs="Calibri"/>
          <w:sz w:val="24"/>
          <w:szCs w:val="24"/>
        </w:rPr>
      </w:pPr>
      <w:r>
        <w:rPr>
          <w:sz w:val="24"/>
          <w:szCs w:val="24"/>
        </w:rPr>
        <w:t xml:space="preserve">For this limit to give rise to a power of j (which it’s supposed to), and not just blow up or go to zero, it must be that </w:t>
      </w:r>
      <w:r>
        <w:rPr>
          <w:rFonts w:ascii="Calibri" w:hAnsi="Calibri" w:cs="Calibri"/>
          <w:sz w:val="24"/>
          <w:szCs w:val="24"/>
        </w:rPr>
        <w:t>ψ´</w:t>
      </w:r>
      <w:r>
        <w:rPr>
          <w:sz w:val="24"/>
          <w:szCs w:val="24"/>
        </w:rPr>
        <w:t>(x) ~ x</w:t>
      </w:r>
      <w:r>
        <w:rPr>
          <w:sz w:val="24"/>
          <w:szCs w:val="24"/>
          <w:vertAlign w:val="superscript"/>
        </w:rPr>
        <w:t>p</w:t>
      </w:r>
      <w:r>
        <w:rPr>
          <w:sz w:val="24"/>
          <w:szCs w:val="24"/>
        </w:rPr>
        <w:t xml:space="preserve"> such that t</w:t>
      </w:r>
      <w:r>
        <w:rPr>
          <w:sz w:val="24"/>
          <w:szCs w:val="24"/>
          <w:vertAlign w:val="superscript"/>
        </w:rPr>
        <w:t>2-</w:t>
      </w:r>
      <w:r>
        <w:rPr>
          <w:rFonts w:ascii="Calibri" w:hAnsi="Calibri" w:cs="Calibri"/>
          <w:sz w:val="24"/>
          <w:szCs w:val="24"/>
          <w:vertAlign w:val="superscript"/>
        </w:rPr>
        <w:t>α</w:t>
      </w:r>
      <w:r>
        <w:rPr>
          <w:sz w:val="24"/>
          <w:szCs w:val="24"/>
          <w:vertAlign w:val="superscript"/>
        </w:rPr>
        <w:t>-</w:t>
      </w:r>
      <w:r>
        <w:rPr>
          <w:rFonts w:ascii="Calibri" w:hAnsi="Calibri" w:cs="Calibri"/>
          <w:sz w:val="24"/>
          <w:szCs w:val="24"/>
          <w:vertAlign w:val="superscript"/>
        </w:rPr>
        <w:t>Δ</w:t>
      </w:r>
      <w:r>
        <w:rPr>
          <w:sz w:val="24"/>
          <w:szCs w:val="24"/>
        </w:rPr>
        <w:t>(j/t</w:t>
      </w:r>
      <w:r>
        <w:rPr>
          <w:rFonts w:ascii="Calibri" w:hAnsi="Calibri" w:cs="Calibri"/>
          <w:sz w:val="24"/>
          <w:szCs w:val="24"/>
          <w:vertAlign w:val="superscript"/>
        </w:rPr>
        <w:t>Δ</w:t>
      </w:r>
      <w:r>
        <w:rPr>
          <w:sz w:val="24"/>
          <w:szCs w:val="24"/>
        </w:rPr>
        <w:t>)</w:t>
      </w:r>
      <w:r>
        <w:rPr>
          <w:sz w:val="24"/>
          <w:szCs w:val="24"/>
          <w:vertAlign w:val="superscript"/>
        </w:rPr>
        <w:t>p</w:t>
      </w:r>
      <w:r>
        <w:rPr>
          <w:sz w:val="24"/>
          <w:szCs w:val="24"/>
        </w:rPr>
        <w:t xml:space="preserve"> is finite </w:t>
      </w:r>
      <w:r>
        <w:rPr>
          <w:rFonts w:ascii="Calibri" w:hAnsi="Calibri" w:cs="Calibri"/>
          <w:sz w:val="24"/>
          <w:szCs w:val="24"/>
        </w:rPr>
        <w:t xml:space="preserve">in t = 0 limit → 2-α-Δ = Δp → p = (2-α-Δ)/Δ.  So then, </w:t>
      </w:r>
    </w:p>
    <w:p w14:paraId="46A037DF" w14:textId="77777777" w:rsidR="007F6AB5" w:rsidRDefault="007F6AB5" w:rsidP="007F6AB5">
      <w:pPr>
        <w:pStyle w:val="NoSpacing"/>
        <w:rPr>
          <w:rFonts w:ascii="Calibri" w:hAnsi="Calibri" w:cs="Calibri"/>
          <w:sz w:val="24"/>
          <w:szCs w:val="24"/>
        </w:rPr>
      </w:pPr>
    </w:p>
    <w:p w14:paraId="0B8C470C" w14:textId="697E7A4F" w:rsidR="007F6AB5" w:rsidRDefault="007F6AB5" w:rsidP="007F6AB5">
      <w:pPr>
        <w:pStyle w:val="NoSpacing"/>
        <w:rPr>
          <w:sz w:val="24"/>
          <w:szCs w:val="24"/>
        </w:rPr>
      </w:pPr>
      <w:r w:rsidRPr="0001101F">
        <w:rPr>
          <w:position w:val="-10"/>
          <w:sz w:val="24"/>
          <w:szCs w:val="24"/>
        </w:rPr>
        <w:object w:dxaOrig="2079" w:dyaOrig="360" w14:anchorId="2EC56C58">
          <v:shape id="_x0000_i1047" type="#_x0000_t75" style="width:104.2pt;height:18pt" o:ole="" filled="t" fillcolor="#cfc">
            <v:imagedata r:id="rId57" o:title=""/>
          </v:shape>
          <o:OLEObject Type="Embed" ProgID="Equation.DSMT4" ShapeID="_x0000_i1047" DrawAspect="Content" ObjectID="_1828351822" r:id="rId58"/>
        </w:object>
      </w:r>
    </w:p>
    <w:p w14:paraId="342705D6" w14:textId="77777777" w:rsidR="007F6AB5" w:rsidRPr="0001101F" w:rsidRDefault="007F6AB5" w:rsidP="007F6AB5">
      <w:pPr>
        <w:pStyle w:val="NoSpacing"/>
        <w:rPr>
          <w:sz w:val="24"/>
          <w:szCs w:val="24"/>
        </w:rPr>
      </w:pPr>
    </w:p>
    <w:p w14:paraId="774294E0" w14:textId="77777777" w:rsidR="00B24842" w:rsidRPr="0059201A" w:rsidRDefault="00B24842" w:rsidP="00B24842">
      <w:pPr>
        <w:pStyle w:val="NoSpacing"/>
        <w:rPr>
          <w:sz w:val="24"/>
          <w:szCs w:val="24"/>
        </w:rPr>
      </w:pPr>
      <w:r w:rsidRPr="0059201A">
        <w:rPr>
          <w:sz w:val="24"/>
          <w:szCs w:val="24"/>
        </w:rPr>
        <w:t>and magnetic susceptibility</w:t>
      </w:r>
    </w:p>
    <w:p w14:paraId="505649E3" w14:textId="77777777" w:rsidR="00B24842" w:rsidRDefault="00B24842" w:rsidP="00B24842">
      <w:pPr>
        <w:pStyle w:val="NoSpacing"/>
        <w:rPr>
          <w:sz w:val="24"/>
          <w:szCs w:val="24"/>
        </w:rPr>
      </w:pPr>
    </w:p>
    <w:p w14:paraId="195D74B1" w14:textId="09849B27" w:rsidR="00B24842" w:rsidRDefault="002B5AE3" w:rsidP="00B24842">
      <w:pPr>
        <w:pStyle w:val="NoSpacing"/>
        <w:rPr>
          <w:sz w:val="24"/>
          <w:szCs w:val="24"/>
        </w:rPr>
      </w:pPr>
      <w:r w:rsidRPr="002B5AE3">
        <w:rPr>
          <w:position w:val="-124"/>
        </w:rPr>
        <w:object w:dxaOrig="6840" w:dyaOrig="2600" w14:anchorId="716306BB">
          <v:shape id="_x0000_i1048" type="#_x0000_t75" style="width:342.55pt;height:129.8pt" o:ole="">
            <v:imagedata r:id="rId59" o:title=""/>
          </v:shape>
          <o:OLEObject Type="Embed" ProgID="Equation.DSMT4" ShapeID="_x0000_i1048" DrawAspect="Content" ObjectID="_1828351823" r:id="rId60"/>
        </w:object>
      </w:r>
    </w:p>
    <w:p w14:paraId="31525B01" w14:textId="77777777" w:rsidR="00B24842" w:rsidRDefault="00B24842" w:rsidP="00B24842">
      <w:pPr>
        <w:pStyle w:val="NoSpacing"/>
        <w:rPr>
          <w:sz w:val="24"/>
          <w:szCs w:val="24"/>
        </w:rPr>
      </w:pPr>
    </w:p>
    <w:p w14:paraId="3F7A11C0" w14:textId="77777777" w:rsidR="00B24842" w:rsidRDefault="00B24842" w:rsidP="00B24842">
      <w:pPr>
        <w:pStyle w:val="NoSpacing"/>
        <w:rPr>
          <w:sz w:val="24"/>
          <w:szCs w:val="24"/>
        </w:rPr>
      </w:pPr>
      <w:r>
        <w:rPr>
          <w:sz w:val="24"/>
          <w:szCs w:val="24"/>
        </w:rPr>
        <w:t>So,</w:t>
      </w:r>
    </w:p>
    <w:p w14:paraId="4907CB2A" w14:textId="77777777" w:rsidR="00B24842" w:rsidRPr="0059201A" w:rsidRDefault="00B24842" w:rsidP="00B24842">
      <w:pPr>
        <w:pStyle w:val="NoSpacing"/>
        <w:rPr>
          <w:sz w:val="24"/>
          <w:szCs w:val="24"/>
        </w:rPr>
      </w:pPr>
    </w:p>
    <w:p w14:paraId="4B09F0FC" w14:textId="46757AE5" w:rsidR="00B24842" w:rsidRPr="0059201A" w:rsidRDefault="00B24842" w:rsidP="00B24842">
      <w:pPr>
        <w:pStyle w:val="NoSpacing"/>
        <w:rPr>
          <w:sz w:val="24"/>
          <w:szCs w:val="24"/>
        </w:rPr>
      </w:pPr>
      <w:r w:rsidRPr="000C0F61">
        <w:rPr>
          <w:position w:val="-10"/>
          <w:sz w:val="24"/>
          <w:szCs w:val="24"/>
        </w:rPr>
        <w:object w:dxaOrig="1900" w:dyaOrig="360" w14:anchorId="7F06382E">
          <v:shape id="_x0000_i1049" type="#_x0000_t75" style="width:94.9pt;height:18pt" o:ole="" filled="t" fillcolor="#cfc">
            <v:imagedata r:id="rId61" o:title=""/>
          </v:shape>
          <o:OLEObject Type="Embed" ProgID="Equation.DSMT4" ShapeID="_x0000_i1049" DrawAspect="Content" ObjectID="_1828351824" r:id="rId62"/>
        </w:object>
      </w:r>
    </w:p>
    <w:p w14:paraId="4082C606" w14:textId="77777777" w:rsidR="00B24842" w:rsidRDefault="00B24842" w:rsidP="00B24842">
      <w:pPr>
        <w:pStyle w:val="NoSpacing"/>
        <w:rPr>
          <w:sz w:val="24"/>
          <w:szCs w:val="24"/>
        </w:rPr>
      </w:pPr>
    </w:p>
    <w:p w14:paraId="73F3A40D" w14:textId="77777777" w:rsidR="00B24842" w:rsidRPr="0059201A" w:rsidRDefault="00B24842" w:rsidP="00B24842">
      <w:pPr>
        <w:pStyle w:val="NoSpacing"/>
        <w:rPr>
          <w:sz w:val="24"/>
          <w:szCs w:val="24"/>
        </w:rPr>
      </w:pPr>
      <w:r>
        <w:rPr>
          <w:sz w:val="24"/>
          <w:szCs w:val="24"/>
        </w:rPr>
        <w:t>These give rise then, to a bunch of scaling relations between the critical exponents.  For one,</w:t>
      </w:r>
    </w:p>
    <w:p w14:paraId="64E978B0" w14:textId="77777777" w:rsidR="00B24842" w:rsidRDefault="00B24842" w:rsidP="00B24842">
      <w:pPr>
        <w:pStyle w:val="NoSpacing"/>
        <w:rPr>
          <w:sz w:val="24"/>
          <w:szCs w:val="24"/>
        </w:rPr>
      </w:pPr>
    </w:p>
    <w:p w14:paraId="6BC7DC6A" w14:textId="7B849A99" w:rsidR="00B24842" w:rsidRDefault="0036342C" w:rsidP="00B24842">
      <w:pPr>
        <w:pStyle w:val="NoSpacing"/>
        <w:rPr>
          <w:sz w:val="24"/>
          <w:szCs w:val="24"/>
        </w:rPr>
      </w:pPr>
      <w:r w:rsidRPr="0036342C">
        <w:rPr>
          <w:position w:val="-80"/>
        </w:rPr>
        <w:object w:dxaOrig="1740" w:dyaOrig="1380" w14:anchorId="6742CCFE">
          <v:shape id="_x0000_i1050" type="#_x0000_t75" style="width:86.75pt;height:68.75pt" o:ole="" filled="t" fillcolor="#cfc">
            <v:imagedata r:id="rId63" o:title=""/>
          </v:shape>
          <o:OLEObject Type="Embed" ProgID="Equation.DSMT4" ShapeID="_x0000_i1050" DrawAspect="Content" ObjectID="_1828351825" r:id="rId64"/>
        </w:object>
      </w:r>
    </w:p>
    <w:p w14:paraId="6D5FBE99" w14:textId="77777777" w:rsidR="00B24842" w:rsidRDefault="00B24842" w:rsidP="00B24842">
      <w:pPr>
        <w:pStyle w:val="NoSpacing"/>
        <w:rPr>
          <w:sz w:val="24"/>
          <w:szCs w:val="24"/>
        </w:rPr>
      </w:pPr>
    </w:p>
    <w:p w14:paraId="65FA1AE3" w14:textId="758BA435" w:rsidR="00B24842" w:rsidRDefault="0036342C" w:rsidP="00B24842">
      <w:pPr>
        <w:pStyle w:val="NoSpacing"/>
        <w:rPr>
          <w:sz w:val="24"/>
          <w:szCs w:val="24"/>
        </w:rPr>
      </w:pPr>
      <w:r>
        <w:rPr>
          <w:sz w:val="24"/>
          <w:szCs w:val="24"/>
        </w:rPr>
        <w:t xml:space="preserve">And we can get one involving the </w:t>
      </w:r>
      <w:r>
        <w:rPr>
          <w:rFonts w:ascii="Calibri" w:hAnsi="Calibri" w:cs="Calibri"/>
          <w:sz w:val="24"/>
          <w:szCs w:val="24"/>
        </w:rPr>
        <w:t>η</w:t>
      </w:r>
      <w:r>
        <w:rPr>
          <w:sz w:val="24"/>
          <w:szCs w:val="24"/>
        </w:rPr>
        <w:t xml:space="preserve">, and </w:t>
      </w:r>
      <w:r>
        <w:rPr>
          <w:rFonts w:ascii="Calibri" w:hAnsi="Calibri" w:cs="Calibri"/>
          <w:sz w:val="24"/>
          <w:szCs w:val="24"/>
        </w:rPr>
        <w:t>ν</w:t>
      </w:r>
      <w:r>
        <w:rPr>
          <w:sz w:val="24"/>
          <w:szCs w:val="24"/>
        </w:rPr>
        <w:t>.  Consider the</w:t>
      </w:r>
      <w:r w:rsidR="00B24842">
        <w:rPr>
          <w:sz w:val="24"/>
          <w:szCs w:val="24"/>
        </w:rPr>
        <w:t xml:space="preserve"> generic expression for the uniform susceptibility discussed above.  </w:t>
      </w:r>
    </w:p>
    <w:p w14:paraId="46E66E0D" w14:textId="77777777" w:rsidR="00B24842" w:rsidRDefault="00B24842" w:rsidP="00B24842">
      <w:pPr>
        <w:pStyle w:val="NoSpacing"/>
        <w:rPr>
          <w:sz w:val="24"/>
          <w:szCs w:val="24"/>
        </w:rPr>
      </w:pPr>
    </w:p>
    <w:p w14:paraId="1118BEAB" w14:textId="77777777" w:rsidR="00B24842" w:rsidRDefault="00B24842" w:rsidP="00B24842">
      <w:pPr>
        <w:pStyle w:val="NoSpacing"/>
      </w:pPr>
      <w:r w:rsidRPr="00353C74">
        <w:rPr>
          <w:position w:val="-168"/>
        </w:rPr>
        <w:object w:dxaOrig="2400" w:dyaOrig="3640" w14:anchorId="26AD31EE">
          <v:shape id="_x0000_i1051" type="#_x0000_t75" style="width:120pt;height:182.75pt" o:ole="">
            <v:imagedata r:id="rId65" o:title=""/>
          </v:shape>
          <o:OLEObject Type="Embed" ProgID="Equation.DSMT4" ShapeID="_x0000_i1051" DrawAspect="Content" ObjectID="_1828351826" r:id="rId66"/>
        </w:object>
      </w:r>
    </w:p>
    <w:p w14:paraId="7D5766B5" w14:textId="77777777" w:rsidR="00B24842" w:rsidRDefault="00B24842" w:rsidP="00B24842">
      <w:pPr>
        <w:pStyle w:val="NoSpacing"/>
      </w:pPr>
    </w:p>
    <w:p w14:paraId="1D0C1DA0" w14:textId="77777777" w:rsidR="00B24842" w:rsidRPr="00FB4012" w:rsidRDefault="00B24842" w:rsidP="00B24842">
      <w:pPr>
        <w:pStyle w:val="NoSpacing"/>
        <w:rPr>
          <w:sz w:val="24"/>
          <w:szCs w:val="24"/>
        </w:rPr>
      </w:pPr>
      <w:r w:rsidRPr="00FB4012">
        <w:rPr>
          <w:sz w:val="24"/>
          <w:szCs w:val="24"/>
        </w:rPr>
        <w:t xml:space="preserve">where </w:t>
      </w:r>
      <w:r w:rsidRPr="00FB4012">
        <w:rPr>
          <w:rFonts w:ascii="Calibri" w:hAnsi="Calibri" w:cs="Calibri"/>
          <w:sz w:val="24"/>
          <w:szCs w:val="24"/>
        </w:rPr>
        <w:t>Ω</w:t>
      </w:r>
      <w:r w:rsidRPr="00FB4012">
        <w:rPr>
          <w:rFonts w:ascii="Calibri" w:hAnsi="Calibri" w:cs="Calibri"/>
          <w:sz w:val="24"/>
          <w:szCs w:val="24"/>
          <w:vertAlign w:val="subscript"/>
        </w:rPr>
        <w:t>d</w:t>
      </w:r>
      <w:r w:rsidRPr="00FB4012">
        <w:rPr>
          <w:rFonts w:ascii="Calibri" w:hAnsi="Calibri" w:cs="Calibri"/>
          <w:sz w:val="24"/>
          <w:szCs w:val="24"/>
        </w:rPr>
        <w:t xml:space="preserve"> is the area of a d-dimensional unit sphere. </w:t>
      </w:r>
      <w:r w:rsidRPr="00FB4012">
        <w:rPr>
          <w:sz w:val="24"/>
          <w:szCs w:val="24"/>
        </w:rPr>
        <w:t xml:space="preserve"> Filling in </w:t>
      </w:r>
      <w:r w:rsidRPr="00FB4012">
        <w:rPr>
          <w:rFonts w:ascii="Calibri" w:hAnsi="Calibri" w:cs="Calibri"/>
          <w:sz w:val="24"/>
          <w:szCs w:val="24"/>
        </w:rPr>
        <w:t>ξ</w:t>
      </w:r>
      <w:r w:rsidRPr="00FB4012">
        <w:rPr>
          <w:sz w:val="24"/>
          <w:szCs w:val="24"/>
        </w:rPr>
        <w:t>,</w:t>
      </w:r>
    </w:p>
    <w:p w14:paraId="74D93DF1" w14:textId="77777777" w:rsidR="00B24842" w:rsidRDefault="00B24842" w:rsidP="00B24842">
      <w:pPr>
        <w:pStyle w:val="NoSpacing"/>
      </w:pPr>
    </w:p>
    <w:p w14:paraId="4D2A36F1" w14:textId="77777777" w:rsidR="00B24842" w:rsidRDefault="00B24842" w:rsidP="00B24842">
      <w:pPr>
        <w:pStyle w:val="NoSpacing"/>
      </w:pPr>
      <w:r w:rsidRPr="00353C74">
        <w:rPr>
          <w:position w:val="-78"/>
        </w:rPr>
        <w:object w:dxaOrig="3159" w:dyaOrig="1680" w14:anchorId="5D613247">
          <v:shape id="_x0000_i1052" type="#_x0000_t75" style="width:158.2pt;height:84pt" o:ole="">
            <v:imagedata r:id="rId67" o:title=""/>
          </v:shape>
          <o:OLEObject Type="Embed" ProgID="Equation.DSMT4" ShapeID="_x0000_i1052" DrawAspect="Content" ObjectID="_1828351827" r:id="rId68"/>
        </w:object>
      </w:r>
    </w:p>
    <w:p w14:paraId="678AA712" w14:textId="77777777" w:rsidR="00B24842" w:rsidRDefault="00B24842" w:rsidP="00B24842">
      <w:pPr>
        <w:pStyle w:val="NoSpacing"/>
      </w:pPr>
    </w:p>
    <w:p w14:paraId="4D38507B" w14:textId="23845F54" w:rsidR="00B24842" w:rsidRPr="00CF76DF" w:rsidRDefault="00B24842" w:rsidP="00B24842">
      <w:pPr>
        <w:pStyle w:val="NoSpacing"/>
        <w:rPr>
          <w:sz w:val="24"/>
          <w:szCs w:val="24"/>
        </w:rPr>
      </w:pPr>
      <w:r w:rsidRPr="00CF76DF">
        <w:rPr>
          <w:sz w:val="24"/>
          <w:szCs w:val="24"/>
        </w:rPr>
        <w:t>The stuff in the [ ] is just a prefactor that doesn’t blow up in the vicinity of T</w:t>
      </w:r>
      <w:r w:rsidRPr="00CF76DF">
        <w:rPr>
          <w:sz w:val="24"/>
          <w:szCs w:val="24"/>
          <w:vertAlign w:val="subscript"/>
        </w:rPr>
        <w:t>c</w:t>
      </w:r>
      <w:r w:rsidRPr="00CF76DF">
        <w:rPr>
          <w:sz w:val="24"/>
          <w:szCs w:val="24"/>
        </w:rPr>
        <w:t xml:space="preserve">, so we don’t care.  And recognizing the form of </w:t>
      </w:r>
      <w:r w:rsidRPr="00CF76DF">
        <w:rPr>
          <w:rFonts w:ascii="Calibri" w:hAnsi="Calibri" w:cs="Calibri"/>
          <w:sz w:val="24"/>
          <w:szCs w:val="24"/>
        </w:rPr>
        <w:t>χ</w:t>
      </w:r>
      <w:r w:rsidRPr="00CF76DF">
        <w:rPr>
          <w:sz w:val="24"/>
          <w:szCs w:val="24"/>
        </w:rPr>
        <w:t>, we see that we must have:</w:t>
      </w:r>
      <w:r w:rsidR="00097C04">
        <w:rPr>
          <w:sz w:val="24"/>
          <w:szCs w:val="24"/>
        </w:rPr>
        <w:t xml:space="preserve"> </w:t>
      </w:r>
      <w:r w:rsidR="00637C24">
        <w:rPr>
          <w:sz w:val="24"/>
          <w:szCs w:val="24"/>
        </w:rPr>
        <w:t xml:space="preserve"> </w:t>
      </w:r>
    </w:p>
    <w:p w14:paraId="04744A97" w14:textId="77777777" w:rsidR="00B24842" w:rsidRDefault="00B24842" w:rsidP="00B24842">
      <w:pPr>
        <w:pStyle w:val="NoSpacing"/>
      </w:pPr>
    </w:p>
    <w:p w14:paraId="7C5E3667" w14:textId="6D6D63C4" w:rsidR="00B24842" w:rsidRPr="00353C74" w:rsidRDefault="0036342C" w:rsidP="00B24842">
      <w:pPr>
        <w:pStyle w:val="NoSpacing"/>
        <w:rPr>
          <w:sz w:val="24"/>
          <w:szCs w:val="24"/>
        </w:rPr>
      </w:pPr>
      <w:r w:rsidRPr="00353C74">
        <w:rPr>
          <w:position w:val="-10"/>
          <w:sz w:val="24"/>
          <w:szCs w:val="24"/>
        </w:rPr>
        <w:object w:dxaOrig="1219" w:dyaOrig="320" w14:anchorId="74D2BE2F">
          <v:shape id="_x0000_i1053" type="#_x0000_t75" style="width:61.1pt;height:15.8pt" o:ole="" filled="t" fillcolor="#cfc">
            <v:imagedata r:id="rId69" o:title=""/>
          </v:shape>
          <o:OLEObject Type="Embed" ProgID="Equation.DSMT4" ShapeID="_x0000_i1053" DrawAspect="Content" ObjectID="_1828351828" r:id="rId70"/>
        </w:object>
      </w:r>
    </w:p>
    <w:p w14:paraId="455A0C6C" w14:textId="1B648B59" w:rsidR="00B24842" w:rsidRDefault="00B24842" w:rsidP="00B24842">
      <w:pPr>
        <w:pStyle w:val="NoSpacing"/>
        <w:rPr>
          <w:sz w:val="24"/>
          <w:szCs w:val="24"/>
        </w:rPr>
      </w:pPr>
    </w:p>
    <w:p w14:paraId="7B4283A2" w14:textId="27EE50AD" w:rsidR="00FF18FB" w:rsidRDefault="00FF18FB" w:rsidP="00B24842">
      <w:pPr>
        <w:pStyle w:val="NoSpacing"/>
        <w:rPr>
          <w:sz w:val="24"/>
          <w:szCs w:val="24"/>
        </w:rPr>
      </w:pPr>
      <w:r>
        <w:rPr>
          <w:sz w:val="24"/>
          <w:szCs w:val="24"/>
        </w:rPr>
        <w:t>I think we can also say</w:t>
      </w:r>
      <w:r w:rsidR="0069492A">
        <w:rPr>
          <w:sz w:val="24"/>
          <w:szCs w:val="24"/>
        </w:rPr>
        <w:t>, well we did already say,</w:t>
      </w:r>
      <w:r>
        <w:rPr>
          <w:sz w:val="24"/>
          <w:szCs w:val="24"/>
        </w:rPr>
        <w:t xml:space="preserve"> that the correlation length assumes a universal form near the critical point, </w:t>
      </w:r>
    </w:p>
    <w:p w14:paraId="0D39C551" w14:textId="7C536F04" w:rsidR="00FF18FB" w:rsidRDefault="00FF18FB" w:rsidP="00B24842">
      <w:pPr>
        <w:pStyle w:val="NoSpacing"/>
        <w:rPr>
          <w:sz w:val="24"/>
          <w:szCs w:val="24"/>
        </w:rPr>
      </w:pPr>
    </w:p>
    <w:p w14:paraId="27D6EE4E" w14:textId="3A841A52" w:rsidR="00FF18FB" w:rsidRDefault="00B63AC3" w:rsidP="00B24842">
      <w:pPr>
        <w:pStyle w:val="NoSpacing"/>
        <w:rPr>
          <w:sz w:val="24"/>
          <w:szCs w:val="24"/>
        </w:rPr>
      </w:pPr>
      <w:r w:rsidRPr="009F4895">
        <w:rPr>
          <w:position w:val="-10"/>
          <w:sz w:val="24"/>
          <w:szCs w:val="24"/>
        </w:rPr>
        <w:object w:dxaOrig="1680" w:dyaOrig="360" w14:anchorId="7B80F7EE">
          <v:shape id="_x0000_i1054" type="#_x0000_t75" style="width:88.35pt;height:19.1pt" o:ole="" filled="t" fillcolor="#cfc">
            <v:imagedata r:id="rId71" o:title=""/>
          </v:shape>
          <o:OLEObject Type="Embed" ProgID="Equation.DSMT4" ShapeID="_x0000_i1054" DrawAspect="Content" ObjectID="_1828351829" r:id="rId72"/>
        </w:object>
      </w:r>
    </w:p>
    <w:p w14:paraId="20894006" w14:textId="77777777" w:rsidR="00FF18FB" w:rsidRDefault="00FF18FB" w:rsidP="00B24842">
      <w:pPr>
        <w:pStyle w:val="NoSpacing"/>
        <w:rPr>
          <w:sz w:val="24"/>
          <w:szCs w:val="24"/>
        </w:rPr>
      </w:pPr>
    </w:p>
    <w:p w14:paraId="4DB33A63" w14:textId="77777777" w:rsidR="0036342C" w:rsidRPr="0036342C" w:rsidRDefault="0036342C" w:rsidP="0036342C">
      <w:pPr>
        <w:pStyle w:val="NoSpacing"/>
        <w:rPr>
          <w:b/>
          <w:sz w:val="24"/>
          <w:szCs w:val="24"/>
        </w:rPr>
      </w:pPr>
      <w:r w:rsidRPr="0036342C">
        <w:rPr>
          <w:b/>
          <w:sz w:val="24"/>
          <w:szCs w:val="24"/>
        </w:rPr>
        <w:t>Hyperscaling</w:t>
      </w:r>
    </w:p>
    <w:p w14:paraId="48717708" w14:textId="1762D4E4" w:rsidR="0036342C" w:rsidRPr="000A51D5" w:rsidRDefault="0036342C" w:rsidP="00FF18FB">
      <w:pPr>
        <w:spacing w:after="0" w:line="240" w:lineRule="auto"/>
        <w:rPr>
          <w:sz w:val="24"/>
          <w:szCs w:val="24"/>
        </w:rPr>
      </w:pPr>
      <w:r>
        <w:rPr>
          <w:rFonts w:eastAsiaTheme="minorEastAsia" w:hAnsi="Calibri"/>
          <w:color w:val="000000" w:themeColor="text1"/>
          <w:kern w:val="24"/>
          <w:sz w:val="24"/>
          <w:szCs w:val="24"/>
        </w:rPr>
        <w:t>There is one more scaling equation that relates the critical exponents explicitly to dimensionality.  This relationship only holds for d &lt; d</w:t>
      </w:r>
      <w:r>
        <w:rPr>
          <w:rFonts w:eastAsiaTheme="minorEastAsia" w:hAnsi="Calibri"/>
          <w:color w:val="000000" w:themeColor="text1"/>
          <w:kern w:val="24"/>
          <w:sz w:val="24"/>
          <w:szCs w:val="24"/>
          <w:vertAlign w:val="subscript"/>
        </w:rPr>
        <w:t>upper_critical</w:t>
      </w:r>
      <w:r w:rsidR="00307309">
        <w:rPr>
          <w:rFonts w:eastAsiaTheme="minorEastAsia" w:hAnsi="Calibri"/>
          <w:color w:val="000000" w:themeColor="text1"/>
          <w:kern w:val="24"/>
          <w:sz w:val="24"/>
          <w:szCs w:val="24"/>
        </w:rPr>
        <w:t>, where d</w:t>
      </w:r>
      <w:r w:rsidR="00307309">
        <w:rPr>
          <w:rFonts w:eastAsiaTheme="minorEastAsia" w:hAnsi="Calibri"/>
          <w:color w:val="000000" w:themeColor="text1"/>
          <w:kern w:val="24"/>
          <w:sz w:val="24"/>
          <w:szCs w:val="24"/>
          <w:vertAlign w:val="subscript"/>
        </w:rPr>
        <w:t>upper_critical</w:t>
      </w:r>
      <w:r w:rsidR="00307309">
        <w:rPr>
          <w:rFonts w:eastAsiaTheme="minorEastAsia" w:hAnsi="Calibri"/>
          <w:color w:val="000000" w:themeColor="text1"/>
          <w:kern w:val="24"/>
          <w:sz w:val="24"/>
          <w:szCs w:val="24"/>
        </w:rPr>
        <w:t xml:space="preserve"> = 4 for things like the liquid-gas transition, and ferromagnetic transition, etc.  The argument is that near the critical point, the system is grouped </w:t>
      </w:r>
      <w:r w:rsidR="005F74BC">
        <w:rPr>
          <w:rFonts w:eastAsiaTheme="minorEastAsia" w:hAnsi="Calibri"/>
          <w:color w:val="000000" w:themeColor="text1"/>
          <w:kern w:val="24"/>
          <w:sz w:val="24"/>
          <w:szCs w:val="24"/>
        </w:rPr>
        <w:t xml:space="preserve">into </w:t>
      </w:r>
      <w:r w:rsidR="00307309">
        <w:rPr>
          <w:rFonts w:eastAsiaTheme="minorEastAsia" w:hAnsi="Calibri"/>
          <w:color w:val="000000" w:themeColor="text1"/>
          <w:kern w:val="24"/>
          <w:sz w:val="24"/>
          <w:szCs w:val="24"/>
        </w:rPr>
        <w:t xml:space="preserve">clumps of size on the order of the correlation length, </w:t>
      </w:r>
      <w:r w:rsidR="00307309">
        <w:rPr>
          <w:rFonts w:ascii="Calibri" w:eastAsiaTheme="minorEastAsia" w:hAnsi="Calibri" w:cs="Calibri"/>
          <w:color w:val="000000" w:themeColor="text1"/>
          <w:kern w:val="24"/>
          <w:sz w:val="24"/>
          <w:szCs w:val="24"/>
        </w:rPr>
        <w:t>ξ</w:t>
      </w:r>
      <w:r w:rsidR="00307309">
        <w:rPr>
          <w:rFonts w:eastAsiaTheme="minorEastAsia" w:hAnsi="Calibri"/>
          <w:color w:val="000000" w:themeColor="text1"/>
          <w:kern w:val="24"/>
          <w:sz w:val="24"/>
          <w:szCs w:val="24"/>
        </w:rPr>
        <w:t xml:space="preserve">.  </w:t>
      </w:r>
      <w:r w:rsidRPr="0059201A">
        <w:rPr>
          <w:sz w:val="24"/>
          <w:szCs w:val="24"/>
        </w:rPr>
        <w:t xml:space="preserve">Presuming the system to be composed of independent blocks of size </w:t>
      </w:r>
      <w:r w:rsidRPr="0059201A">
        <w:rPr>
          <w:rFonts w:ascii="Calibri" w:hAnsi="Calibri" w:cs="Calibri"/>
          <w:sz w:val="24"/>
          <w:szCs w:val="24"/>
        </w:rPr>
        <w:t>ξ</w:t>
      </w:r>
      <w:r w:rsidRPr="0059201A">
        <w:rPr>
          <w:sz w:val="24"/>
          <w:szCs w:val="24"/>
          <w:vertAlign w:val="superscript"/>
        </w:rPr>
        <w:t>d</w:t>
      </w:r>
      <w:r w:rsidRPr="0059201A">
        <w:rPr>
          <w:sz w:val="24"/>
          <w:szCs w:val="24"/>
        </w:rPr>
        <w:t>, then the total partition function is just Z</w:t>
      </w:r>
      <w:r w:rsidRPr="0059201A">
        <w:rPr>
          <w:sz w:val="24"/>
          <w:szCs w:val="24"/>
          <w:vertAlign w:val="subscript"/>
        </w:rPr>
        <w:t>0</w:t>
      </w:r>
      <w:r w:rsidRPr="0059201A">
        <w:rPr>
          <w:sz w:val="24"/>
          <w:szCs w:val="24"/>
          <w:vertAlign w:val="superscript"/>
        </w:rPr>
        <w:t>N</w:t>
      </w:r>
      <w:r>
        <w:rPr>
          <w:sz w:val="24"/>
          <w:szCs w:val="24"/>
        </w:rPr>
        <w:t xml:space="preserve"> (this would also depend on t and j, but ought to not depend in a singular way)</w:t>
      </w:r>
      <w:r w:rsidRPr="0059201A">
        <w:rPr>
          <w:sz w:val="24"/>
          <w:szCs w:val="24"/>
        </w:rPr>
        <w:t>, where N = (L/</w:t>
      </w:r>
      <w:r w:rsidRPr="0059201A">
        <w:rPr>
          <w:rFonts w:ascii="Calibri" w:hAnsi="Calibri" w:cs="Calibri"/>
          <w:sz w:val="24"/>
          <w:szCs w:val="24"/>
        </w:rPr>
        <w:t>ξ</w:t>
      </w:r>
      <w:r w:rsidRPr="0059201A">
        <w:rPr>
          <w:sz w:val="24"/>
          <w:szCs w:val="24"/>
        </w:rPr>
        <w:t>)</w:t>
      </w:r>
      <w:r w:rsidRPr="0059201A">
        <w:rPr>
          <w:sz w:val="24"/>
          <w:szCs w:val="24"/>
          <w:vertAlign w:val="superscript"/>
        </w:rPr>
        <w:t>d</w:t>
      </w:r>
      <w:r w:rsidRPr="0059201A">
        <w:rPr>
          <w:sz w:val="24"/>
          <w:szCs w:val="24"/>
        </w:rPr>
        <w:t>.  And so filling stuff in we get</w:t>
      </w:r>
      <w:r>
        <w:rPr>
          <w:sz w:val="24"/>
          <w:szCs w:val="24"/>
        </w:rPr>
        <w:t xml:space="preserve"> (note we can take T → T</w:t>
      </w:r>
      <w:r>
        <w:rPr>
          <w:sz w:val="24"/>
          <w:szCs w:val="24"/>
          <w:vertAlign w:val="subscript"/>
        </w:rPr>
        <w:t>c</w:t>
      </w:r>
      <w:r>
        <w:rPr>
          <w:sz w:val="24"/>
          <w:szCs w:val="24"/>
        </w:rPr>
        <w:t xml:space="preserve"> = constant near the critical point):</w:t>
      </w:r>
    </w:p>
    <w:p w14:paraId="43F0529C" w14:textId="77777777" w:rsidR="0036342C" w:rsidRPr="0059201A" w:rsidRDefault="0036342C" w:rsidP="0036342C">
      <w:pPr>
        <w:pStyle w:val="NoSpacing"/>
        <w:rPr>
          <w:sz w:val="24"/>
          <w:szCs w:val="24"/>
        </w:rPr>
      </w:pPr>
    </w:p>
    <w:p w14:paraId="759E094E" w14:textId="74F1F2E6" w:rsidR="0036342C" w:rsidRDefault="0069492A" w:rsidP="0036342C">
      <w:pPr>
        <w:pStyle w:val="NoSpacing"/>
        <w:rPr>
          <w:sz w:val="24"/>
          <w:szCs w:val="24"/>
        </w:rPr>
      </w:pPr>
      <w:r w:rsidRPr="0069492A">
        <w:rPr>
          <w:position w:val="-108"/>
          <w:sz w:val="24"/>
          <w:szCs w:val="24"/>
        </w:rPr>
        <w:object w:dxaOrig="7220" w:dyaOrig="2799" w14:anchorId="3BC9F470">
          <v:shape id="_x0000_i1055" type="#_x0000_t75" style="width:5in;height:141.25pt" o:ole="">
            <v:imagedata r:id="rId73" o:title=""/>
          </v:shape>
          <o:OLEObject Type="Embed" ProgID="Equation.DSMT4" ShapeID="_x0000_i1055" DrawAspect="Content" ObjectID="_1828351830" r:id="rId74"/>
        </w:object>
      </w:r>
    </w:p>
    <w:p w14:paraId="4AD7DEFC" w14:textId="77777777" w:rsidR="0036342C" w:rsidRDefault="0036342C" w:rsidP="0036342C">
      <w:pPr>
        <w:pStyle w:val="NoSpacing"/>
        <w:rPr>
          <w:sz w:val="24"/>
          <w:szCs w:val="24"/>
        </w:rPr>
      </w:pPr>
    </w:p>
    <w:p w14:paraId="569247E1" w14:textId="632DE82A" w:rsidR="0036342C" w:rsidRDefault="0036342C" w:rsidP="0036342C">
      <w:pPr>
        <w:pStyle w:val="NoSpacing"/>
        <w:rPr>
          <w:sz w:val="24"/>
          <w:szCs w:val="24"/>
        </w:rPr>
      </w:pPr>
      <w:r>
        <w:rPr>
          <w:sz w:val="24"/>
          <w:szCs w:val="24"/>
        </w:rPr>
        <w:t>and so f</w:t>
      </w:r>
      <w:r w:rsidR="0069492A">
        <w:rPr>
          <w:sz w:val="24"/>
          <w:szCs w:val="24"/>
        </w:rPr>
        <w:t>(t, j = 0)</w:t>
      </w:r>
      <w:r>
        <w:rPr>
          <w:sz w:val="24"/>
          <w:szCs w:val="24"/>
        </w:rPr>
        <w:t xml:space="preserve"> = </w:t>
      </w:r>
      <w:r w:rsidR="002B5AE3">
        <w:rPr>
          <w:rFonts w:ascii="Calibri" w:hAnsi="Calibri" w:cs="Calibri"/>
          <w:sz w:val="24"/>
          <w:szCs w:val="24"/>
        </w:rPr>
        <w:t>β</w:t>
      </w:r>
      <w:r>
        <w:rPr>
          <w:sz w:val="24"/>
          <w:szCs w:val="24"/>
        </w:rPr>
        <w:t>F/L</w:t>
      </w:r>
      <w:r>
        <w:rPr>
          <w:sz w:val="24"/>
          <w:szCs w:val="24"/>
          <w:vertAlign w:val="superscript"/>
        </w:rPr>
        <w:t>d</w:t>
      </w:r>
      <w:r w:rsidR="0069492A">
        <w:rPr>
          <w:sz w:val="24"/>
          <w:szCs w:val="24"/>
        </w:rPr>
        <w:t xml:space="preserve"> = |t|</w:t>
      </w:r>
      <w:r w:rsidR="0069492A">
        <w:rPr>
          <w:sz w:val="24"/>
          <w:szCs w:val="24"/>
          <w:vertAlign w:val="superscript"/>
        </w:rPr>
        <w:t>d</w:t>
      </w:r>
      <w:r w:rsidR="0069492A">
        <w:rPr>
          <w:rFonts w:ascii="Calibri" w:hAnsi="Calibri" w:cs="Calibri"/>
          <w:sz w:val="24"/>
          <w:szCs w:val="24"/>
          <w:vertAlign w:val="superscript"/>
        </w:rPr>
        <w:t>ν</w:t>
      </w:r>
      <w:r w:rsidR="002B5AE3" w:rsidRPr="002B5AE3">
        <w:rPr>
          <w:rFonts w:ascii="Calibri" w:hAnsi="Calibri" w:cs="Calibri"/>
          <w:sz w:val="24"/>
          <w:szCs w:val="24"/>
        </w:rPr>
        <w:t>β</w:t>
      </w:r>
      <w:r w:rsidR="002B5AE3">
        <w:rPr>
          <w:rFonts w:ascii="Calibri" w:hAnsi="Calibri" w:cs="Calibri"/>
          <w:sz w:val="24"/>
          <w:szCs w:val="24"/>
          <w:vertAlign w:val="subscript"/>
        </w:rPr>
        <w:t>c</w:t>
      </w:r>
      <w:r w:rsidR="0069492A" w:rsidRPr="002B5AE3">
        <w:rPr>
          <w:sz w:val="24"/>
          <w:szCs w:val="24"/>
        </w:rPr>
        <w:t>F</w:t>
      </w:r>
      <w:r w:rsidR="0069492A" w:rsidRPr="002B5AE3">
        <w:rPr>
          <w:sz w:val="24"/>
          <w:szCs w:val="24"/>
          <w:vertAlign w:val="subscript"/>
        </w:rPr>
        <w:t>0</w:t>
      </w:r>
      <w:r w:rsidR="0069492A">
        <w:rPr>
          <w:sz w:val="24"/>
          <w:szCs w:val="24"/>
        </w:rPr>
        <w:t xml:space="preserve">(t, j=0). </w:t>
      </w:r>
      <w:r w:rsidR="00FF18FB">
        <w:rPr>
          <w:sz w:val="24"/>
          <w:szCs w:val="24"/>
        </w:rPr>
        <w:t xml:space="preserve"> </w:t>
      </w:r>
      <w:r w:rsidR="0069492A">
        <w:rPr>
          <w:sz w:val="24"/>
          <w:szCs w:val="24"/>
        </w:rPr>
        <w:t>And I think we’d assume that F</w:t>
      </w:r>
      <w:r w:rsidR="0069492A">
        <w:rPr>
          <w:sz w:val="24"/>
          <w:szCs w:val="24"/>
          <w:vertAlign w:val="subscript"/>
        </w:rPr>
        <w:t>0</w:t>
      </w:r>
      <w:r w:rsidR="0069492A">
        <w:rPr>
          <w:sz w:val="24"/>
          <w:szCs w:val="24"/>
        </w:rPr>
        <w:t xml:space="preserve">(t,j=0) doesn’t go to 0 as t does, but rather to some constant.  </w:t>
      </w:r>
      <w:r w:rsidR="00FF18FB">
        <w:rPr>
          <w:sz w:val="24"/>
          <w:szCs w:val="24"/>
        </w:rPr>
        <w:t xml:space="preserve">Therefore, </w:t>
      </w:r>
      <w:r w:rsidR="0069492A">
        <w:rPr>
          <w:sz w:val="24"/>
          <w:szCs w:val="24"/>
        </w:rPr>
        <w:t xml:space="preserve">comparing with the form Widom established for f(t,j) above, </w:t>
      </w:r>
      <w:r w:rsidR="00FF18FB">
        <w:rPr>
          <w:sz w:val="24"/>
          <w:szCs w:val="24"/>
        </w:rPr>
        <w:t>we’d conclude that:</w:t>
      </w:r>
    </w:p>
    <w:p w14:paraId="2409287E" w14:textId="0E631DB4" w:rsidR="00FF18FB" w:rsidRDefault="00FF18FB" w:rsidP="0036342C">
      <w:pPr>
        <w:pStyle w:val="NoSpacing"/>
        <w:rPr>
          <w:sz w:val="24"/>
          <w:szCs w:val="24"/>
        </w:rPr>
      </w:pPr>
    </w:p>
    <w:p w14:paraId="0B773126" w14:textId="2DA385C0" w:rsidR="00FF18FB" w:rsidRPr="009657FD" w:rsidRDefault="00FF18FB" w:rsidP="0036342C">
      <w:pPr>
        <w:pStyle w:val="NoSpacing"/>
        <w:rPr>
          <w:sz w:val="24"/>
          <w:szCs w:val="24"/>
        </w:rPr>
      </w:pPr>
      <w:r w:rsidRPr="00353C74">
        <w:rPr>
          <w:position w:val="-10"/>
          <w:sz w:val="24"/>
          <w:szCs w:val="24"/>
        </w:rPr>
        <w:object w:dxaOrig="4980" w:dyaOrig="320" w14:anchorId="25BD3B34">
          <v:shape id="_x0000_i1056" type="#_x0000_t75" style="width:249.25pt;height:15.8pt" o:ole="" filled="t" fillcolor="#cfc">
            <v:imagedata r:id="rId75" o:title=""/>
          </v:shape>
          <o:OLEObject Type="Embed" ProgID="Equation.DSMT4" ShapeID="_x0000_i1056" DrawAspect="Content" ObjectID="_1828351831" r:id="rId76"/>
        </w:object>
      </w:r>
    </w:p>
    <w:p w14:paraId="44DC76E1" w14:textId="754ED6E3" w:rsidR="0036342C" w:rsidRDefault="0036342C" w:rsidP="0036342C">
      <w:pPr>
        <w:pStyle w:val="NoSpacing"/>
        <w:rPr>
          <w:sz w:val="24"/>
          <w:szCs w:val="24"/>
        </w:rPr>
      </w:pPr>
    </w:p>
    <w:p w14:paraId="6C96AEE2" w14:textId="24EECA28" w:rsidR="00FF18FB" w:rsidRDefault="00FF18FB" w:rsidP="0036342C">
      <w:pPr>
        <w:pStyle w:val="NoSpacing"/>
        <w:rPr>
          <w:sz w:val="24"/>
          <w:szCs w:val="24"/>
        </w:rPr>
      </w:pPr>
      <w:r>
        <w:rPr>
          <w:sz w:val="24"/>
          <w:szCs w:val="24"/>
        </w:rPr>
        <w:t xml:space="preserve">But again, this doesn’t seem to hold past the upper critical dimension, as indeed this would often make </w:t>
      </w:r>
      <w:r>
        <w:rPr>
          <w:rFonts w:ascii="Calibri" w:hAnsi="Calibri" w:cs="Calibri"/>
          <w:sz w:val="24"/>
          <w:szCs w:val="24"/>
        </w:rPr>
        <w:t>α</w:t>
      </w:r>
      <w:r>
        <w:rPr>
          <w:sz w:val="24"/>
          <w:szCs w:val="24"/>
        </w:rPr>
        <w:t xml:space="preserve"> negative.  </w:t>
      </w:r>
    </w:p>
    <w:p w14:paraId="41E650F2" w14:textId="77777777" w:rsidR="00FF18FB" w:rsidRDefault="00FF18FB" w:rsidP="0036342C">
      <w:pPr>
        <w:pStyle w:val="NoSpacing"/>
        <w:rPr>
          <w:sz w:val="24"/>
          <w:szCs w:val="24"/>
        </w:rPr>
      </w:pPr>
    </w:p>
    <w:p w14:paraId="365DD4D4" w14:textId="54C46DBE" w:rsidR="0036342C" w:rsidRPr="0036342C" w:rsidRDefault="0036342C" w:rsidP="00B24842">
      <w:pPr>
        <w:pStyle w:val="NoSpacing"/>
        <w:rPr>
          <w:b/>
          <w:sz w:val="24"/>
          <w:szCs w:val="24"/>
        </w:rPr>
      </w:pPr>
      <w:r w:rsidRPr="0036342C">
        <w:rPr>
          <w:b/>
        </w:rPr>
        <w:t>MI transition</w:t>
      </w:r>
    </w:p>
    <w:p w14:paraId="2A9B6094" w14:textId="77777777" w:rsidR="00B24842" w:rsidRDefault="00B24842" w:rsidP="00B24842">
      <w:pPr>
        <w:pStyle w:val="NoSpacing"/>
        <w:rPr>
          <w:sz w:val="24"/>
          <w:szCs w:val="24"/>
        </w:rPr>
      </w:pPr>
      <w:r>
        <w:rPr>
          <w:sz w:val="24"/>
          <w:szCs w:val="24"/>
        </w:rPr>
        <w:t>In metal-insulator transitions, one may hypothesize other scaling relations, like:</w:t>
      </w:r>
    </w:p>
    <w:p w14:paraId="25D4E356" w14:textId="77777777" w:rsidR="00B24842" w:rsidRDefault="00B24842" w:rsidP="00B24842">
      <w:pPr>
        <w:pStyle w:val="NoSpacing"/>
        <w:rPr>
          <w:sz w:val="24"/>
          <w:szCs w:val="24"/>
        </w:rPr>
      </w:pPr>
    </w:p>
    <w:p w14:paraId="73221E59" w14:textId="77777777" w:rsidR="00B24842" w:rsidRDefault="00B24842" w:rsidP="00B24842">
      <w:pPr>
        <w:pStyle w:val="NoSpacing"/>
        <w:rPr>
          <w:sz w:val="24"/>
          <w:szCs w:val="24"/>
        </w:rPr>
      </w:pPr>
      <w:r w:rsidRPr="00F64A6F">
        <w:rPr>
          <w:position w:val="-30"/>
          <w:sz w:val="24"/>
          <w:szCs w:val="24"/>
        </w:rPr>
        <w:object w:dxaOrig="4060" w:dyaOrig="700" w14:anchorId="53D6FC98">
          <v:shape id="_x0000_i1057" type="#_x0000_t75" style="width:202.9pt;height:35.45pt" o:ole="">
            <v:imagedata r:id="rId77" o:title=""/>
          </v:shape>
          <o:OLEObject Type="Embed" ProgID="Equation.DSMT4" ShapeID="_x0000_i1057" DrawAspect="Content" ObjectID="_1828351832" r:id="rId78"/>
        </w:object>
      </w:r>
      <w:r>
        <w:rPr>
          <w:sz w:val="24"/>
          <w:szCs w:val="24"/>
        </w:rPr>
        <w:t xml:space="preserve"> </w:t>
      </w:r>
    </w:p>
    <w:p w14:paraId="7EF340CD" w14:textId="77777777" w:rsidR="00B24842" w:rsidRDefault="00B24842" w:rsidP="00B24842">
      <w:pPr>
        <w:pStyle w:val="NoSpacing"/>
        <w:rPr>
          <w:sz w:val="24"/>
          <w:szCs w:val="24"/>
        </w:rPr>
      </w:pPr>
    </w:p>
    <w:p w14:paraId="65242DB4" w14:textId="49F8C51E" w:rsidR="00B24842" w:rsidRDefault="00B24842" w:rsidP="00B24842">
      <w:pPr>
        <w:pStyle w:val="NoSpacing"/>
        <w:rPr>
          <w:sz w:val="24"/>
          <w:szCs w:val="24"/>
        </w:rPr>
      </w:pPr>
      <w:r>
        <w:rPr>
          <w:sz w:val="24"/>
          <w:szCs w:val="24"/>
        </w:rPr>
        <w:t>where n</w:t>
      </w:r>
      <w:r>
        <w:rPr>
          <w:sz w:val="24"/>
          <w:szCs w:val="24"/>
          <w:vertAlign w:val="subscript"/>
        </w:rPr>
        <w:t>c</w:t>
      </w:r>
      <w:r>
        <w:rPr>
          <w:sz w:val="24"/>
          <w:szCs w:val="24"/>
        </w:rPr>
        <w:t xml:space="preserve"> is a critical impurity concentration, at which the conductivity vanishes, when T = 0.  </w:t>
      </w:r>
    </w:p>
    <w:p w14:paraId="67AEDC79" w14:textId="3527F2B8" w:rsidR="0036342C" w:rsidRDefault="0036342C" w:rsidP="00B24842">
      <w:pPr>
        <w:pStyle w:val="NoSpacing"/>
        <w:rPr>
          <w:sz w:val="24"/>
          <w:szCs w:val="24"/>
        </w:rPr>
      </w:pPr>
    </w:p>
    <w:p w14:paraId="58975362" w14:textId="43BFD519" w:rsidR="000465AA" w:rsidRDefault="000465AA" w:rsidP="00B24842">
      <w:pPr>
        <w:pStyle w:val="NoSpacing"/>
        <w:rPr>
          <w:b/>
          <w:sz w:val="28"/>
          <w:szCs w:val="28"/>
        </w:rPr>
      </w:pPr>
      <w:r w:rsidRPr="000465AA">
        <w:rPr>
          <w:b/>
          <w:sz w:val="28"/>
          <w:szCs w:val="28"/>
        </w:rPr>
        <w:t>Appendix</w:t>
      </w:r>
    </w:p>
    <w:p w14:paraId="315EF99F" w14:textId="329DA017" w:rsidR="000465AA" w:rsidRDefault="000465AA" w:rsidP="00B24842">
      <w:pPr>
        <w:pStyle w:val="NoSpacing"/>
        <w:rPr>
          <w:sz w:val="24"/>
          <w:szCs w:val="24"/>
        </w:rPr>
      </w:pPr>
      <w:r>
        <w:rPr>
          <w:sz w:val="24"/>
          <w:szCs w:val="24"/>
        </w:rPr>
        <w:t xml:space="preserve">Here are some critical exponents of the Ising model from Chaiken-Lubensky.  I think the liquid-gas transition exponents are similar?  </w:t>
      </w:r>
    </w:p>
    <w:p w14:paraId="29E970E8" w14:textId="7B9D42A7" w:rsidR="000465AA" w:rsidRDefault="000465AA" w:rsidP="00B24842">
      <w:pPr>
        <w:pStyle w:val="NoSpacing"/>
        <w:rPr>
          <w:sz w:val="24"/>
          <w:szCs w:val="24"/>
        </w:rPr>
      </w:pPr>
    </w:p>
    <w:p w14:paraId="5B1300B8" w14:textId="0F7C6ED2" w:rsidR="000465AA" w:rsidRDefault="000465AA" w:rsidP="00B24842">
      <w:pPr>
        <w:pStyle w:val="NoSpacing"/>
        <w:rPr>
          <w:sz w:val="24"/>
          <w:szCs w:val="24"/>
        </w:rPr>
      </w:pPr>
      <w:r w:rsidRPr="000465AA">
        <w:rPr>
          <w:noProof/>
          <w:sz w:val="24"/>
          <w:szCs w:val="24"/>
        </w:rPr>
        <w:drawing>
          <wp:inline distT="0" distB="0" distL="0" distR="0" wp14:anchorId="33B41E65" wp14:editId="2A9E64AB">
            <wp:extent cx="4185138" cy="1513557"/>
            <wp:effectExtent l="0" t="0" r="635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79"/>
                    <a:stretch>
                      <a:fillRect/>
                    </a:stretch>
                  </pic:blipFill>
                  <pic:spPr>
                    <a:xfrm>
                      <a:off x="0" y="0"/>
                      <a:ext cx="4200751" cy="1519203"/>
                    </a:xfrm>
                    <a:prstGeom prst="rect">
                      <a:avLst/>
                    </a:prstGeom>
                  </pic:spPr>
                </pic:pic>
              </a:graphicData>
            </a:graphic>
          </wp:inline>
        </w:drawing>
      </w:r>
    </w:p>
    <w:p w14:paraId="28BBFECB" w14:textId="087D08F4" w:rsidR="000465AA" w:rsidRDefault="000465AA" w:rsidP="00B24842">
      <w:pPr>
        <w:pStyle w:val="NoSpacing"/>
        <w:rPr>
          <w:sz w:val="24"/>
          <w:szCs w:val="24"/>
        </w:rPr>
      </w:pPr>
    </w:p>
    <w:p w14:paraId="3FCD2F30" w14:textId="77777777" w:rsidR="000465AA" w:rsidRPr="000465AA" w:rsidRDefault="000465AA" w:rsidP="00B24842">
      <w:pPr>
        <w:pStyle w:val="NoSpacing"/>
        <w:rPr>
          <w:sz w:val="24"/>
          <w:szCs w:val="24"/>
        </w:rPr>
      </w:pPr>
    </w:p>
    <w:sectPr w:rsidR="000465AA" w:rsidRPr="000465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AD2"/>
    <w:rsid w:val="0001101F"/>
    <w:rsid w:val="000465AA"/>
    <w:rsid w:val="00084FD3"/>
    <w:rsid w:val="00087059"/>
    <w:rsid w:val="00097C04"/>
    <w:rsid w:val="000A51D5"/>
    <w:rsid w:val="000B1BB1"/>
    <w:rsid w:val="000C0F61"/>
    <w:rsid w:val="000D16EB"/>
    <w:rsid w:val="000D569D"/>
    <w:rsid w:val="000E2218"/>
    <w:rsid w:val="00115147"/>
    <w:rsid w:val="00124310"/>
    <w:rsid w:val="00133166"/>
    <w:rsid w:val="0015013D"/>
    <w:rsid w:val="00194E8A"/>
    <w:rsid w:val="001D1A73"/>
    <w:rsid w:val="001F528C"/>
    <w:rsid w:val="00205C25"/>
    <w:rsid w:val="002A2697"/>
    <w:rsid w:val="002B5AE3"/>
    <w:rsid w:val="002F3FCA"/>
    <w:rsid w:val="00307309"/>
    <w:rsid w:val="00353C74"/>
    <w:rsid w:val="0036342C"/>
    <w:rsid w:val="00370D37"/>
    <w:rsid w:val="003931A7"/>
    <w:rsid w:val="003B2AF0"/>
    <w:rsid w:val="00414FEC"/>
    <w:rsid w:val="004349E5"/>
    <w:rsid w:val="00434A71"/>
    <w:rsid w:val="00441562"/>
    <w:rsid w:val="0048503B"/>
    <w:rsid w:val="004B39D7"/>
    <w:rsid w:val="004C0252"/>
    <w:rsid w:val="004C6570"/>
    <w:rsid w:val="004D37C8"/>
    <w:rsid w:val="00576767"/>
    <w:rsid w:val="00581959"/>
    <w:rsid w:val="0059201A"/>
    <w:rsid w:val="005D48B6"/>
    <w:rsid w:val="005D79B4"/>
    <w:rsid w:val="005F74BC"/>
    <w:rsid w:val="00637C24"/>
    <w:rsid w:val="00676DA8"/>
    <w:rsid w:val="0069492A"/>
    <w:rsid w:val="006A0960"/>
    <w:rsid w:val="006A40D6"/>
    <w:rsid w:val="006E4EAE"/>
    <w:rsid w:val="00730F18"/>
    <w:rsid w:val="00740035"/>
    <w:rsid w:val="007452CC"/>
    <w:rsid w:val="0075196B"/>
    <w:rsid w:val="007C0F09"/>
    <w:rsid w:val="007D39DA"/>
    <w:rsid w:val="007E4F03"/>
    <w:rsid w:val="007E5D58"/>
    <w:rsid w:val="007F6AB5"/>
    <w:rsid w:val="00805AD2"/>
    <w:rsid w:val="008153E3"/>
    <w:rsid w:val="00840480"/>
    <w:rsid w:val="00874286"/>
    <w:rsid w:val="008A26E6"/>
    <w:rsid w:val="008C7700"/>
    <w:rsid w:val="008E4AEA"/>
    <w:rsid w:val="008F4027"/>
    <w:rsid w:val="00936DBB"/>
    <w:rsid w:val="009657FD"/>
    <w:rsid w:val="009A755E"/>
    <w:rsid w:val="009C7D85"/>
    <w:rsid w:val="009D5095"/>
    <w:rsid w:val="009D61A3"/>
    <w:rsid w:val="009E58C0"/>
    <w:rsid w:val="009F1BE0"/>
    <w:rsid w:val="009F4895"/>
    <w:rsid w:val="00A0096C"/>
    <w:rsid w:val="00A06819"/>
    <w:rsid w:val="00A37A23"/>
    <w:rsid w:val="00A44EF7"/>
    <w:rsid w:val="00A727F6"/>
    <w:rsid w:val="00AB4786"/>
    <w:rsid w:val="00B24842"/>
    <w:rsid w:val="00B44D4B"/>
    <w:rsid w:val="00B63AC3"/>
    <w:rsid w:val="00B7711F"/>
    <w:rsid w:val="00BB609B"/>
    <w:rsid w:val="00BC1D7D"/>
    <w:rsid w:val="00C03552"/>
    <w:rsid w:val="00C1703C"/>
    <w:rsid w:val="00C40EC5"/>
    <w:rsid w:val="00C60785"/>
    <w:rsid w:val="00CC08C1"/>
    <w:rsid w:val="00CC3709"/>
    <w:rsid w:val="00CC47AD"/>
    <w:rsid w:val="00CD21C4"/>
    <w:rsid w:val="00CF76DF"/>
    <w:rsid w:val="00D276D6"/>
    <w:rsid w:val="00DF20B4"/>
    <w:rsid w:val="00DF4AB1"/>
    <w:rsid w:val="00DF7841"/>
    <w:rsid w:val="00E30F56"/>
    <w:rsid w:val="00E41805"/>
    <w:rsid w:val="00E9016D"/>
    <w:rsid w:val="00E9045B"/>
    <w:rsid w:val="00EA2D89"/>
    <w:rsid w:val="00EC6D1E"/>
    <w:rsid w:val="00ED3657"/>
    <w:rsid w:val="00F425D2"/>
    <w:rsid w:val="00F53F78"/>
    <w:rsid w:val="00F64A6F"/>
    <w:rsid w:val="00F67204"/>
    <w:rsid w:val="00F70ED3"/>
    <w:rsid w:val="00F71E7D"/>
    <w:rsid w:val="00FA77CE"/>
    <w:rsid w:val="00FB4012"/>
    <w:rsid w:val="00FF1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91F02"/>
  <w15:chartTrackingRefBased/>
  <w15:docId w15:val="{0D682E3C-C213-4BE7-A1E5-D5936263D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76D6"/>
    <w:pPr>
      <w:spacing w:after="0" w:line="240" w:lineRule="auto"/>
    </w:pPr>
  </w:style>
  <w:style w:type="paragraph" w:styleId="NormalWeb">
    <w:name w:val="Normal (Web)"/>
    <w:basedOn w:val="Normal"/>
    <w:uiPriority w:val="99"/>
    <w:semiHidden/>
    <w:unhideWhenUsed/>
    <w:rsid w:val="004D37C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66249">
      <w:bodyDiv w:val="1"/>
      <w:marLeft w:val="0"/>
      <w:marRight w:val="0"/>
      <w:marTop w:val="0"/>
      <w:marBottom w:val="0"/>
      <w:divBdr>
        <w:top w:val="none" w:sz="0" w:space="0" w:color="auto"/>
        <w:left w:val="none" w:sz="0" w:space="0" w:color="auto"/>
        <w:bottom w:val="none" w:sz="0" w:space="0" w:color="auto"/>
        <w:right w:val="none" w:sz="0" w:space="0" w:color="auto"/>
      </w:divBdr>
    </w:div>
    <w:div w:id="386610606">
      <w:bodyDiv w:val="1"/>
      <w:marLeft w:val="0"/>
      <w:marRight w:val="0"/>
      <w:marTop w:val="0"/>
      <w:marBottom w:val="0"/>
      <w:divBdr>
        <w:top w:val="none" w:sz="0" w:space="0" w:color="auto"/>
        <w:left w:val="none" w:sz="0" w:space="0" w:color="auto"/>
        <w:bottom w:val="none" w:sz="0" w:space="0" w:color="auto"/>
        <w:right w:val="none" w:sz="0" w:space="0" w:color="auto"/>
      </w:divBdr>
    </w:div>
    <w:div w:id="399794917">
      <w:bodyDiv w:val="1"/>
      <w:marLeft w:val="0"/>
      <w:marRight w:val="0"/>
      <w:marTop w:val="0"/>
      <w:marBottom w:val="0"/>
      <w:divBdr>
        <w:top w:val="none" w:sz="0" w:space="0" w:color="auto"/>
        <w:left w:val="none" w:sz="0" w:space="0" w:color="auto"/>
        <w:bottom w:val="none" w:sz="0" w:space="0" w:color="auto"/>
        <w:right w:val="none" w:sz="0" w:space="0" w:color="auto"/>
      </w:divBdr>
    </w:div>
    <w:div w:id="406340760">
      <w:bodyDiv w:val="1"/>
      <w:marLeft w:val="0"/>
      <w:marRight w:val="0"/>
      <w:marTop w:val="0"/>
      <w:marBottom w:val="0"/>
      <w:divBdr>
        <w:top w:val="none" w:sz="0" w:space="0" w:color="auto"/>
        <w:left w:val="none" w:sz="0" w:space="0" w:color="auto"/>
        <w:bottom w:val="none" w:sz="0" w:space="0" w:color="auto"/>
        <w:right w:val="none" w:sz="0" w:space="0" w:color="auto"/>
      </w:divBdr>
    </w:div>
    <w:div w:id="1212617530">
      <w:bodyDiv w:val="1"/>
      <w:marLeft w:val="0"/>
      <w:marRight w:val="0"/>
      <w:marTop w:val="0"/>
      <w:marBottom w:val="0"/>
      <w:divBdr>
        <w:top w:val="none" w:sz="0" w:space="0" w:color="auto"/>
        <w:left w:val="none" w:sz="0" w:space="0" w:color="auto"/>
        <w:bottom w:val="none" w:sz="0" w:space="0" w:color="auto"/>
        <w:right w:val="none" w:sz="0" w:space="0" w:color="auto"/>
      </w:divBdr>
    </w:div>
    <w:div w:id="1247113397">
      <w:bodyDiv w:val="1"/>
      <w:marLeft w:val="0"/>
      <w:marRight w:val="0"/>
      <w:marTop w:val="0"/>
      <w:marBottom w:val="0"/>
      <w:divBdr>
        <w:top w:val="none" w:sz="0" w:space="0" w:color="auto"/>
        <w:left w:val="none" w:sz="0" w:space="0" w:color="auto"/>
        <w:bottom w:val="none" w:sz="0" w:space="0" w:color="auto"/>
        <w:right w:val="none" w:sz="0" w:space="0" w:color="auto"/>
      </w:divBdr>
    </w:div>
    <w:div w:id="1400860815">
      <w:bodyDiv w:val="1"/>
      <w:marLeft w:val="0"/>
      <w:marRight w:val="0"/>
      <w:marTop w:val="0"/>
      <w:marBottom w:val="0"/>
      <w:divBdr>
        <w:top w:val="none" w:sz="0" w:space="0" w:color="auto"/>
        <w:left w:val="none" w:sz="0" w:space="0" w:color="auto"/>
        <w:bottom w:val="none" w:sz="0" w:space="0" w:color="auto"/>
        <w:right w:val="none" w:sz="0" w:space="0" w:color="auto"/>
      </w:divBdr>
    </w:div>
    <w:div w:id="1504007431">
      <w:bodyDiv w:val="1"/>
      <w:marLeft w:val="0"/>
      <w:marRight w:val="0"/>
      <w:marTop w:val="0"/>
      <w:marBottom w:val="0"/>
      <w:divBdr>
        <w:top w:val="none" w:sz="0" w:space="0" w:color="auto"/>
        <w:left w:val="none" w:sz="0" w:space="0" w:color="auto"/>
        <w:bottom w:val="none" w:sz="0" w:space="0" w:color="auto"/>
        <w:right w:val="none" w:sz="0" w:space="0" w:color="auto"/>
      </w:divBdr>
    </w:div>
    <w:div w:id="1535726953">
      <w:bodyDiv w:val="1"/>
      <w:marLeft w:val="0"/>
      <w:marRight w:val="0"/>
      <w:marTop w:val="0"/>
      <w:marBottom w:val="0"/>
      <w:divBdr>
        <w:top w:val="none" w:sz="0" w:space="0" w:color="auto"/>
        <w:left w:val="none" w:sz="0" w:space="0" w:color="auto"/>
        <w:bottom w:val="none" w:sz="0" w:space="0" w:color="auto"/>
        <w:right w:val="none" w:sz="0" w:space="0" w:color="auto"/>
      </w:divBdr>
    </w:div>
    <w:div w:id="1543788780">
      <w:bodyDiv w:val="1"/>
      <w:marLeft w:val="0"/>
      <w:marRight w:val="0"/>
      <w:marTop w:val="0"/>
      <w:marBottom w:val="0"/>
      <w:divBdr>
        <w:top w:val="none" w:sz="0" w:space="0" w:color="auto"/>
        <w:left w:val="none" w:sz="0" w:space="0" w:color="auto"/>
        <w:bottom w:val="none" w:sz="0" w:space="0" w:color="auto"/>
        <w:right w:val="none" w:sz="0" w:space="0" w:color="auto"/>
      </w:divBdr>
    </w:div>
    <w:div w:id="1782802310">
      <w:bodyDiv w:val="1"/>
      <w:marLeft w:val="0"/>
      <w:marRight w:val="0"/>
      <w:marTop w:val="0"/>
      <w:marBottom w:val="0"/>
      <w:divBdr>
        <w:top w:val="none" w:sz="0" w:space="0" w:color="auto"/>
        <w:left w:val="none" w:sz="0" w:space="0" w:color="auto"/>
        <w:bottom w:val="none" w:sz="0" w:space="0" w:color="auto"/>
        <w:right w:val="none" w:sz="0" w:space="0" w:color="auto"/>
      </w:divBdr>
    </w:div>
    <w:div w:id="1783912244">
      <w:bodyDiv w:val="1"/>
      <w:marLeft w:val="0"/>
      <w:marRight w:val="0"/>
      <w:marTop w:val="0"/>
      <w:marBottom w:val="0"/>
      <w:divBdr>
        <w:top w:val="none" w:sz="0" w:space="0" w:color="auto"/>
        <w:left w:val="none" w:sz="0" w:space="0" w:color="auto"/>
        <w:bottom w:val="none" w:sz="0" w:space="0" w:color="auto"/>
        <w:right w:val="none" w:sz="0" w:space="0" w:color="auto"/>
      </w:divBdr>
    </w:div>
    <w:div w:id="1857890574">
      <w:bodyDiv w:val="1"/>
      <w:marLeft w:val="0"/>
      <w:marRight w:val="0"/>
      <w:marTop w:val="0"/>
      <w:marBottom w:val="0"/>
      <w:divBdr>
        <w:top w:val="none" w:sz="0" w:space="0" w:color="auto"/>
        <w:left w:val="none" w:sz="0" w:space="0" w:color="auto"/>
        <w:bottom w:val="none" w:sz="0" w:space="0" w:color="auto"/>
        <w:right w:val="none" w:sz="0" w:space="0" w:color="auto"/>
      </w:divBdr>
    </w:div>
    <w:div w:id="1886329357">
      <w:bodyDiv w:val="1"/>
      <w:marLeft w:val="0"/>
      <w:marRight w:val="0"/>
      <w:marTop w:val="0"/>
      <w:marBottom w:val="0"/>
      <w:divBdr>
        <w:top w:val="none" w:sz="0" w:space="0" w:color="auto"/>
        <w:left w:val="none" w:sz="0" w:space="0" w:color="auto"/>
        <w:bottom w:val="none" w:sz="0" w:space="0" w:color="auto"/>
        <w:right w:val="none" w:sz="0" w:space="0" w:color="auto"/>
      </w:divBdr>
    </w:div>
    <w:div w:id="2124879071">
      <w:bodyDiv w:val="1"/>
      <w:marLeft w:val="0"/>
      <w:marRight w:val="0"/>
      <w:marTop w:val="0"/>
      <w:marBottom w:val="0"/>
      <w:divBdr>
        <w:top w:val="none" w:sz="0" w:space="0" w:color="auto"/>
        <w:left w:val="none" w:sz="0" w:space="0" w:color="auto"/>
        <w:bottom w:val="none" w:sz="0" w:space="0" w:color="auto"/>
        <w:right w:val="none" w:sz="0" w:space="0" w:color="auto"/>
      </w:divBdr>
    </w:div>
    <w:div w:id="2126537269">
      <w:bodyDiv w:val="1"/>
      <w:marLeft w:val="0"/>
      <w:marRight w:val="0"/>
      <w:marTop w:val="0"/>
      <w:marBottom w:val="0"/>
      <w:divBdr>
        <w:top w:val="none" w:sz="0" w:space="0" w:color="auto"/>
        <w:left w:val="none" w:sz="0" w:space="0" w:color="auto"/>
        <w:bottom w:val="none" w:sz="0" w:space="0" w:color="auto"/>
        <w:right w:val="none" w:sz="0" w:space="0" w:color="auto"/>
      </w:divBdr>
    </w:div>
    <w:div w:id="213898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14.png"/><Relationship Id="rId42" Type="http://schemas.openxmlformats.org/officeDocument/2006/relationships/oleObject" Target="embeddings/oleObject15.bin"/><Relationship Id="rId47" Type="http://schemas.openxmlformats.org/officeDocument/2006/relationships/image" Target="media/image27.wmf"/><Relationship Id="rId63" Type="http://schemas.openxmlformats.org/officeDocument/2006/relationships/image" Target="media/image35.wmf"/><Relationship Id="rId68" Type="http://schemas.openxmlformats.org/officeDocument/2006/relationships/oleObject" Target="embeddings/oleObject28.bin"/><Relationship Id="rId16" Type="http://schemas.openxmlformats.org/officeDocument/2006/relationships/image" Target="media/image11.png"/><Relationship Id="rId11" Type="http://schemas.openxmlformats.org/officeDocument/2006/relationships/image" Target="media/image6.png"/><Relationship Id="rId32" Type="http://schemas.openxmlformats.org/officeDocument/2006/relationships/oleObject" Target="embeddings/oleObject10.bin"/><Relationship Id="rId37" Type="http://schemas.openxmlformats.org/officeDocument/2006/relationships/image" Target="media/image22.wmf"/><Relationship Id="rId53" Type="http://schemas.openxmlformats.org/officeDocument/2006/relationships/image" Target="media/image30.wmf"/><Relationship Id="rId58" Type="http://schemas.openxmlformats.org/officeDocument/2006/relationships/oleObject" Target="embeddings/oleObject23.bin"/><Relationship Id="rId74" Type="http://schemas.openxmlformats.org/officeDocument/2006/relationships/oleObject" Target="embeddings/oleObject31.bin"/><Relationship Id="rId79" Type="http://schemas.openxmlformats.org/officeDocument/2006/relationships/image" Target="media/image43.png"/><Relationship Id="rId5" Type="http://schemas.openxmlformats.org/officeDocument/2006/relationships/image" Target="media/image2.png"/><Relationship Id="rId61" Type="http://schemas.openxmlformats.org/officeDocument/2006/relationships/image" Target="media/image34.wmf"/><Relationship Id="rId19" Type="http://schemas.openxmlformats.org/officeDocument/2006/relationships/image" Target="media/image13.wmf"/><Relationship Id="rId14" Type="http://schemas.openxmlformats.org/officeDocument/2006/relationships/image" Target="media/image9.png"/><Relationship Id="rId22" Type="http://schemas.openxmlformats.org/officeDocument/2006/relationships/oleObject" Target="embeddings/oleObject5.bin"/><Relationship Id="rId27" Type="http://schemas.openxmlformats.org/officeDocument/2006/relationships/image" Target="media/image17.wmf"/><Relationship Id="rId30" Type="http://schemas.openxmlformats.org/officeDocument/2006/relationships/oleObject" Target="embeddings/oleObject9.bin"/><Relationship Id="rId35" Type="http://schemas.openxmlformats.org/officeDocument/2006/relationships/image" Target="media/image21.wmf"/><Relationship Id="rId43" Type="http://schemas.openxmlformats.org/officeDocument/2006/relationships/image" Target="media/image25.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8.wmf"/><Relationship Id="rId77" Type="http://schemas.openxmlformats.org/officeDocument/2006/relationships/image" Target="media/image42.wmf"/><Relationship Id="rId8" Type="http://schemas.openxmlformats.org/officeDocument/2006/relationships/image" Target="media/image4.png"/><Relationship Id="rId51" Type="http://schemas.openxmlformats.org/officeDocument/2006/relationships/image" Target="media/image29.wmf"/><Relationship Id="rId72" Type="http://schemas.openxmlformats.org/officeDocument/2006/relationships/oleObject" Target="embeddings/oleObject30.bin"/><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6.png"/><Relationship Id="rId33" Type="http://schemas.openxmlformats.org/officeDocument/2006/relationships/image" Target="media/image20.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33.wmf"/><Relationship Id="rId67" Type="http://schemas.openxmlformats.org/officeDocument/2006/relationships/image" Target="media/image37.wmf"/><Relationship Id="rId20" Type="http://schemas.openxmlformats.org/officeDocument/2006/relationships/oleObject" Target="embeddings/oleObject4.bin"/><Relationship Id="rId41" Type="http://schemas.openxmlformats.org/officeDocument/2006/relationships/image" Target="media/image24.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41.wmf"/><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0.png"/><Relationship Id="rId23" Type="http://schemas.openxmlformats.org/officeDocument/2006/relationships/image" Target="media/image15.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8.wmf"/><Relationship Id="rId57" Type="http://schemas.openxmlformats.org/officeDocument/2006/relationships/image" Target="media/image32.wmf"/><Relationship Id="rId10" Type="http://schemas.openxmlformats.org/officeDocument/2006/relationships/image" Target="media/image5.png"/><Relationship Id="rId31" Type="http://schemas.openxmlformats.org/officeDocument/2006/relationships/image" Target="media/image19.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36.wmf"/><Relationship Id="rId73" Type="http://schemas.openxmlformats.org/officeDocument/2006/relationships/image" Target="media/image40.wmf"/><Relationship Id="rId78" Type="http://schemas.openxmlformats.org/officeDocument/2006/relationships/oleObject" Target="embeddings/oleObject33.bin"/><Relationship Id="rId81"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oleObject" Target="embeddings/oleObject2.bin"/><Relationship Id="rId13" Type="http://schemas.openxmlformats.org/officeDocument/2006/relationships/image" Target="media/image8.png"/><Relationship Id="rId18" Type="http://schemas.openxmlformats.org/officeDocument/2006/relationships/oleObject" Target="embeddings/oleObject3.bin"/><Relationship Id="rId39" Type="http://schemas.openxmlformats.org/officeDocument/2006/relationships/image" Target="media/image23.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31.wmf"/><Relationship Id="rId76" Type="http://schemas.openxmlformats.org/officeDocument/2006/relationships/oleObject" Target="embeddings/oleObject32.bin"/><Relationship Id="rId7" Type="http://schemas.openxmlformats.org/officeDocument/2006/relationships/oleObject" Target="embeddings/oleObject1.bin"/><Relationship Id="rId71" Type="http://schemas.openxmlformats.org/officeDocument/2006/relationships/image" Target="media/image39.wmf"/><Relationship Id="rId2" Type="http://schemas.openxmlformats.org/officeDocument/2006/relationships/settings" Target="settings.xml"/><Relationship Id="rId29" Type="http://schemas.openxmlformats.org/officeDocument/2006/relationships/image" Target="media/image18.png"/><Relationship Id="rId24" Type="http://schemas.openxmlformats.org/officeDocument/2006/relationships/oleObject" Target="embeddings/oleObject6.bin"/><Relationship Id="rId40" Type="http://schemas.openxmlformats.org/officeDocument/2006/relationships/oleObject" Target="embeddings/oleObject14.bin"/><Relationship Id="rId45" Type="http://schemas.openxmlformats.org/officeDocument/2006/relationships/image" Target="media/image26.wmf"/><Relationship Id="rId66" Type="http://schemas.openxmlformats.org/officeDocument/2006/relationships/oleObject" Target="embeddings/oleObject2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1105</TotalTime>
  <Pages>12</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60</cp:revision>
  <dcterms:created xsi:type="dcterms:W3CDTF">2019-08-10T00:50:00Z</dcterms:created>
  <dcterms:modified xsi:type="dcterms:W3CDTF">2025-12-27T19:43:00Z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